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7AC6" w14:textId="77777777" w:rsidR="00366D85" w:rsidRPr="00366D85" w:rsidRDefault="00366D85" w:rsidP="00366D85">
      <w:pPr>
        <w:spacing w:line="360" w:lineRule="auto"/>
        <w:jc w:val="center"/>
        <w:rPr>
          <w:b/>
          <w:bCs/>
          <w:sz w:val="24"/>
          <w:szCs w:val="24"/>
        </w:rPr>
      </w:pPr>
      <w:r w:rsidRPr="00366D85">
        <w:rPr>
          <w:b/>
          <w:bCs/>
          <w:sz w:val="24"/>
          <w:szCs w:val="24"/>
        </w:rPr>
        <w:t>PIANO NAZIONALE DI RIPRESA E RESILIENZA (PNRR)</w:t>
      </w:r>
    </w:p>
    <w:p w14:paraId="07EDE20A" w14:textId="77777777" w:rsidR="00366D85" w:rsidRPr="00366D85" w:rsidRDefault="00366D85" w:rsidP="00366D85">
      <w:pPr>
        <w:spacing w:line="360" w:lineRule="auto"/>
        <w:jc w:val="center"/>
        <w:rPr>
          <w:b/>
          <w:bCs/>
          <w:sz w:val="24"/>
          <w:szCs w:val="24"/>
        </w:rPr>
      </w:pPr>
      <w:r w:rsidRPr="00366D85">
        <w:rPr>
          <w:b/>
          <w:bCs/>
          <w:sz w:val="24"/>
          <w:szCs w:val="24"/>
        </w:rPr>
        <w:t>Missione 1 Componente 3 Investimento 1.1 - Strategie e piattaforme digitali per il patrimonio culturale</w:t>
      </w:r>
    </w:p>
    <w:p w14:paraId="4C054085" w14:textId="77777777" w:rsidR="00366D85" w:rsidRPr="00366D85" w:rsidRDefault="00366D85" w:rsidP="00366D85">
      <w:pPr>
        <w:spacing w:line="360" w:lineRule="auto"/>
        <w:jc w:val="center"/>
        <w:rPr>
          <w:b/>
          <w:bCs/>
          <w:sz w:val="24"/>
          <w:szCs w:val="24"/>
        </w:rPr>
      </w:pPr>
      <w:r w:rsidRPr="00366D85">
        <w:rPr>
          <w:b/>
          <w:bCs/>
          <w:sz w:val="24"/>
          <w:szCs w:val="24"/>
        </w:rPr>
        <w:t xml:space="preserve"> Sub-investimento 1.1.4 – Infrastruttura digitale per il patrimonio culturale</w:t>
      </w:r>
    </w:p>
    <w:p w14:paraId="1E5D256D" w14:textId="77777777" w:rsidR="00366D85" w:rsidRDefault="00366D85">
      <w:pPr>
        <w:spacing w:line="360" w:lineRule="auto"/>
        <w:jc w:val="center"/>
        <w:rPr>
          <w:b/>
          <w:bCs/>
          <w:sz w:val="24"/>
          <w:szCs w:val="24"/>
        </w:rPr>
      </w:pPr>
    </w:p>
    <w:p w14:paraId="7DBD9608" w14:textId="77777777" w:rsidR="00366D85" w:rsidRDefault="00366D85">
      <w:pPr>
        <w:spacing w:line="360" w:lineRule="auto"/>
        <w:jc w:val="center"/>
        <w:rPr>
          <w:b/>
          <w:bCs/>
          <w:sz w:val="24"/>
          <w:szCs w:val="24"/>
        </w:rPr>
      </w:pPr>
    </w:p>
    <w:p w14:paraId="2B2C98AC" w14:textId="76719066" w:rsidR="00862404" w:rsidRPr="00FE3168" w:rsidRDefault="00862404">
      <w:pPr>
        <w:spacing w:line="360" w:lineRule="auto"/>
        <w:jc w:val="center"/>
        <w:rPr>
          <w:b/>
          <w:bCs/>
          <w:sz w:val="24"/>
          <w:szCs w:val="24"/>
        </w:rPr>
      </w:pPr>
      <w:r w:rsidRPr="00FE3168">
        <w:rPr>
          <w:b/>
          <w:bCs/>
          <w:sz w:val="24"/>
          <w:szCs w:val="24"/>
        </w:rPr>
        <w:t>Atto d’impegno e disciplinare</w:t>
      </w:r>
    </w:p>
    <w:p w14:paraId="1C173877" w14:textId="00F2DBCB" w:rsidR="002416C8" w:rsidRPr="00FE3168" w:rsidRDefault="144CD7B0" w:rsidP="1AD2423B">
      <w:pPr>
        <w:spacing w:line="360" w:lineRule="auto"/>
        <w:jc w:val="center"/>
        <w:rPr>
          <w:b/>
          <w:bCs/>
          <w:sz w:val="24"/>
          <w:szCs w:val="24"/>
        </w:rPr>
      </w:pPr>
      <w:r w:rsidRPr="1AD2423B">
        <w:rPr>
          <w:b/>
          <w:bCs/>
          <w:sz w:val="24"/>
          <w:szCs w:val="24"/>
        </w:rPr>
        <w:t xml:space="preserve">per l’inserimento e il mantenimento nell’Elenco dei Partner Tecnologici Qualificati </w:t>
      </w:r>
      <w:r w:rsidR="009D0AFE" w:rsidRPr="1AD2423B">
        <w:rPr>
          <w:b/>
          <w:bCs/>
          <w:sz w:val="24"/>
          <w:szCs w:val="24"/>
        </w:rPr>
        <w:t>nell’ambito dell’infrastruttura</w:t>
      </w:r>
      <w:r w:rsidRPr="1AD2423B">
        <w:rPr>
          <w:b/>
          <w:bCs/>
          <w:sz w:val="24"/>
          <w:szCs w:val="24"/>
        </w:rPr>
        <w:t xml:space="preserve"> </w:t>
      </w:r>
      <w:proofErr w:type="spellStart"/>
      <w:r w:rsidR="709EC3BB" w:rsidRPr="1AD2423B">
        <w:rPr>
          <w:b/>
          <w:bCs/>
          <w:sz w:val="24"/>
          <w:szCs w:val="24"/>
        </w:rPr>
        <w:t>I.PaC</w:t>
      </w:r>
      <w:proofErr w:type="spellEnd"/>
      <w:r w:rsidR="709EC3BB" w:rsidRPr="1AD2423B">
        <w:rPr>
          <w:b/>
          <w:bCs/>
          <w:sz w:val="24"/>
          <w:szCs w:val="24"/>
        </w:rPr>
        <w:t xml:space="preserve"> </w:t>
      </w:r>
    </w:p>
    <w:p w14:paraId="1C17387B" w14:textId="69B7FB29" w:rsidR="002416C8" w:rsidRPr="006F061D" w:rsidRDefault="002416C8">
      <w:pPr>
        <w:spacing w:line="360" w:lineRule="auto"/>
        <w:jc w:val="center"/>
        <w:rPr>
          <w:sz w:val="24"/>
          <w:szCs w:val="24"/>
        </w:rPr>
      </w:pPr>
    </w:p>
    <w:p w14:paraId="1C17387C" w14:textId="568DC540" w:rsidR="002416C8" w:rsidRPr="006F061D" w:rsidRDefault="000B58B3">
      <w:pPr>
        <w:spacing w:line="360" w:lineRule="auto"/>
        <w:jc w:val="both"/>
        <w:rPr>
          <w:sz w:val="24"/>
          <w:szCs w:val="24"/>
        </w:rPr>
      </w:pPr>
      <w:r w:rsidRPr="006F061D">
        <w:rPr>
          <w:sz w:val="24"/>
          <w:szCs w:val="24"/>
        </w:rPr>
        <w:t>________ (</w:t>
      </w:r>
      <w:r w:rsidR="00614EC7" w:rsidRPr="006F061D">
        <w:rPr>
          <w:i/>
          <w:iCs/>
          <w:sz w:val="24"/>
          <w:szCs w:val="24"/>
        </w:rPr>
        <w:t>l’</w:t>
      </w:r>
      <w:r w:rsidR="00040016">
        <w:rPr>
          <w:i/>
          <w:iCs/>
          <w:sz w:val="24"/>
          <w:szCs w:val="24"/>
        </w:rPr>
        <w:t>O</w:t>
      </w:r>
      <w:r w:rsidR="00614EC7" w:rsidRPr="006F061D">
        <w:rPr>
          <w:i/>
          <w:iCs/>
          <w:sz w:val="24"/>
          <w:szCs w:val="24"/>
        </w:rPr>
        <w:t xml:space="preserve">peratore economico </w:t>
      </w:r>
      <w:r w:rsidRPr="006F061D">
        <w:rPr>
          <w:i/>
          <w:iCs/>
          <w:sz w:val="24"/>
          <w:szCs w:val="24"/>
        </w:rPr>
        <w:t>aderente</w:t>
      </w:r>
      <w:r w:rsidRPr="006F061D">
        <w:rPr>
          <w:sz w:val="24"/>
          <w:szCs w:val="24"/>
        </w:rPr>
        <w:t>), con sede in ________, C.F. _______, rappresentat</w:t>
      </w:r>
      <w:r w:rsidR="008723A4">
        <w:rPr>
          <w:sz w:val="24"/>
          <w:szCs w:val="24"/>
        </w:rPr>
        <w:t>o</w:t>
      </w:r>
      <w:r w:rsidRPr="006F061D">
        <w:rPr>
          <w:sz w:val="24"/>
          <w:szCs w:val="24"/>
        </w:rPr>
        <w:t xml:space="preserve"> da ______________, in qualità di ______</w:t>
      </w:r>
    </w:p>
    <w:p w14:paraId="1C17387D" w14:textId="77777777" w:rsidR="002416C8" w:rsidRPr="006F061D" w:rsidRDefault="002416C8">
      <w:pPr>
        <w:spacing w:line="360" w:lineRule="auto"/>
        <w:rPr>
          <w:sz w:val="24"/>
          <w:szCs w:val="24"/>
        </w:rPr>
      </w:pPr>
    </w:p>
    <w:p w14:paraId="1C17387F" w14:textId="77777777" w:rsidR="002416C8" w:rsidRPr="006F061D" w:rsidRDefault="000B58B3">
      <w:pPr>
        <w:pStyle w:val="NoSpacing"/>
        <w:spacing w:after="120"/>
        <w:jc w:val="center"/>
        <w:rPr>
          <w:b/>
          <w:bCs/>
          <w:sz w:val="24"/>
          <w:szCs w:val="24"/>
        </w:rPr>
      </w:pPr>
      <w:r w:rsidRPr="006F061D">
        <w:rPr>
          <w:b/>
          <w:bCs/>
          <w:sz w:val="24"/>
          <w:szCs w:val="24"/>
        </w:rPr>
        <w:t>VISTI</w:t>
      </w:r>
    </w:p>
    <w:p w14:paraId="5C435A54" w14:textId="77777777" w:rsidR="00283FA1" w:rsidRDefault="00283FA1" w:rsidP="00151ABF">
      <w:pPr>
        <w:widowControl w:val="0"/>
        <w:numPr>
          <w:ilvl w:val="0"/>
          <w:numId w:val="3"/>
        </w:numPr>
        <w:spacing w:line="360" w:lineRule="auto"/>
        <w:jc w:val="both"/>
        <w:rPr>
          <w:sz w:val="24"/>
          <w:szCs w:val="24"/>
        </w:rPr>
      </w:pPr>
      <w:r>
        <w:rPr>
          <w:sz w:val="24"/>
          <w:szCs w:val="24"/>
        </w:rPr>
        <w:t>la legge 7 agosto 1990, n. 241, recante ‘’Nuove norme in materia di procedimento amministrativo e di diritto di accesso ai documenti amministrativi’’;</w:t>
      </w:r>
    </w:p>
    <w:p w14:paraId="37809F7E" w14:textId="38997942" w:rsidR="00283FA1" w:rsidRDefault="00283FA1" w:rsidP="00151ABF">
      <w:pPr>
        <w:widowControl w:val="0"/>
        <w:numPr>
          <w:ilvl w:val="0"/>
          <w:numId w:val="3"/>
        </w:numPr>
        <w:spacing w:line="360" w:lineRule="auto"/>
        <w:jc w:val="both"/>
        <w:rPr>
          <w:sz w:val="24"/>
          <w:szCs w:val="24"/>
        </w:rPr>
      </w:pPr>
      <w:r w:rsidRPr="1AD2423B">
        <w:rPr>
          <w:sz w:val="24"/>
          <w:szCs w:val="24"/>
        </w:rPr>
        <w:t>il decreto legislativo 7 marzo 2005, n. 82, recante “Codice dell’amministrazione digitale”;</w:t>
      </w:r>
    </w:p>
    <w:p w14:paraId="5C7370D3" w14:textId="77777777" w:rsidR="00283FA1" w:rsidRDefault="00283FA1" w:rsidP="00151ABF">
      <w:pPr>
        <w:numPr>
          <w:ilvl w:val="0"/>
          <w:numId w:val="3"/>
        </w:numPr>
        <w:spacing w:line="360" w:lineRule="auto"/>
        <w:jc w:val="both"/>
        <w:rPr>
          <w:sz w:val="24"/>
          <w:szCs w:val="24"/>
        </w:rPr>
      </w:pPr>
      <w:r>
        <w:rPr>
          <w:sz w:val="24"/>
          <w:szCs w:val="24"/>
        </w:rPr>
        <w:t>le “Linee Guida nazionali per la Valorizzazione del Patrimonio informativo pubblico” che, definite e aggiornate da AgID, secondo quanto previsto dal Decreto Legislativo 7 marzo 2005, n. 82, Codice dell'Amministrazione Digitale (art. 2, commi 2 e 4), forniscono a tutte le pubbliche amministrazioni, alle società interamente partecipate da enti pubblici o con prevalente capitale pubblico inserite nel conto economico consolidato della pubblica amministrazione, le indicazioni per la valorizzazione del proprio patrimonio informativo;</w:t>
      </w:r>
    </w:p>
    <w:p w14:paraId="53BC3681" w14:textId="77777777" w:rsidR="00283FA1" w:rsidRDefault="00283FA1" w:rsidP="00151ABF">
      <w:pPr>
        <w:numPr>
          <w:ilvl w:val="0"/>
          <w:numId w:val="3"/>
        </w:numPr>
        <w:spacing w:line="360" w:lineRule="auto"/>
        <w:jc w:val="both"/>
        <w:rPr>
          <w:sz w:val="24"/>
          <w:szCs w:val="24"/>
        </w:rPr>
      </w:pPr>
      <w:r>
        <w:rPr>
          <w:sz w:val="24"/>
          <w:szCs w:val="24"/>
        </w:rPr>
        <w:t>la legge 6 novembre 2012, n. 190, e successive modificazioni, recante “Disposizioni per la prevenzione e la repressione della corruzione e dell’illegalità nella pubblica amministrazione”;</w:t>
      </w:r>
    </w:p>
    <w:p w14:paraId="7683C342" w14:textId="77777777" w:rsidR="00283FA1" w:rsidRDefault="00283FA1" w:rsidP="00151ABF">
      <w:pPr>
        <w:numPr>
          <w:ilvl w:val="0"/>
          <w:numId w:val="3"/>
        </w:numPr>
        <w:spacing w:line="360" w:lineRule="auto"/>
        <w:jc w:val="both"/>
        <w:rPr>
          <w:sz w:val="24"/>
          <w:szCs w:val="24"/>
        </w:rPr>
      </w:pPr>
      <w:r>
        <w:rPr>
          <w:sz w:val="24"/>
          <w:szCs w:val="24"/>
        </w:rPr>
        <w:t>il decreto legislativo 14 marzo 2013, n. 33, e successive modificazioni, recante “Riordino della disciplina riguardante il diritto di accesso civico e gli obblighi di pubblicità, trasparenza e diffusione di informazioni da parte delle pubbliche amministrazioni”;</w:t>
      </w:r>
    </w:p>
    <w:p w14:paraId="37E6B75C" w14:textId="77777777" w:rsidR="00283FA1" w:rsidRDefault="00283FA1" w:rsidP="00151ABF">
      <w:pPr>
        <w:numPr>
          <w:ilvl w:val="0"/>
          <w:numId w:val="3"/>
        </w:numPr>
        <w:spacing w:line="360" w:lineRule="auto"/>
        <w:jc w:val="both"/>
        <w:rPr>
          <w:sz w:val="24"/>
          <w:szCs w:val="24"/>
        </w:rPr>
      </w:pPr>
      <w:r>
        <w:rPr>
          <w:sz w:val="24"/>
          <w:szCs w:val="24"/>
        </w:rPr>
        <w:t xml:space="preserve">le “Linee Guida sulla acquisizione e riuso di software per le pubbliche amministrazioni”, adottate con determinazione AgID n.115 del 9 maggio 2019, in attuazione degli obblighi previsti dagli articoli 68 e 69 del Codice dell’Amministrazione Digitale in materia di acquisizione di software, valutazione comparativa, rilascio in </w:t>
      </w:r>
      <w:r>
        <w:rPr>
          <w:i/>
          <w:iCs/>
          <w:sz w:val="24"/>
          <w:szCs w:val="24"/>
        </w:rPr>
        <w:t>open source</w:t>
      </w:r>
      <w:r>
        <w:rPr>
          <w:sz w:val="24"/>
          <w:szCs w:val="24"/>
        </w:rPr>
        <w:t>, riuso;</w:t>
      </w:r>
    </w:p>
    <w:p w14:paraId="29150BFB" w14:textId="77777777" w:rsidR="00283FA1" w:rsidRDefault="00283FA1" w:rsidP="00151ABF">
      <w:pPr>
        <w:numPr>
          <w:ilvl w:val="0"/>
          <w:numId w:val="3"/>
        </w:numPr>
        <w:spacing w:line="360" w:lineRule="auto"/>
        <w:jc w:val="both"/>
        <w:rPr>
          <w:sz w:val="24"/>
          <w:szCs w:val="24"/>
        </w:rPr>
      </w:pPr>
      <w:r>
        <w:rPr>
          <w:sz w:val="24"/>
          <w:szCs w:val="24"/>
        </w:rPr>
        <w:t>la Determinazione AgID n. 627 del 2021 che ha adottato e pubblicato le “Linee Guida sull’infrastruttura tecnologica della Piattaforma Digitale Nazionale Dati per l’interoperabilità dei sistemi informativi e delle basi di dati” ai sensi dell’articolo 50-ter, comma secondo del CAD;</w:t>
      </w:r>
    </w:p>
    <w:p w14:paraId="27796192" w14:textId="77777777" w:rsidR="00283FA1" w:rsidRDefault="00283FA1" w:rsidP="00151ABF">
      <w:pPr>
        <w:numPr>
          <w:ilvl w:val="0"/>
          <w:numId w:val="3"/>
        </w:numPr>
        <w:spacing w:line="360" w:lineRule="auto"/>
        <w:jc w:val="both"/>
        <w:rPr>
          <w:sz w:val="24"/>
          <w:szCs w:val="24"/>
        </w:rPr>
      </w:pPr>
      <w:r>
        <w:rPr>
          <w:sz w:val="24"/>
          <w:szCs w:val="24"/>
        </w:rPr>
        <w:t>la Determinazione AgID n. 628/2021 avente ad oggetto “Adozione del Regolamento recante i livelli minimi di sicurezza, capacità elaborativa, risparmio energetico e affidabilità delle infrastrutture digitali per la PA e le caratteristiche di qualità, sicurezza, performance e scalabilità, portabilità dei servizi cloud per la pubblica amministrazione, le modalità di migrazione, nonché le modalità di qualificazione dei servizi cloud per la pubblica amministrazione” (Regolamento AgID);</w:t>
      </w:r>
    </w:p>
    <w:p w14:paraId="76A0D928" w14:textId="77777777" w:rsidR="00283FA1" w:rsidRDefault="00283FA1" w:rsidP="00151ABF">
      <w:pPr>
        <w:numPr>
          <w:ilvl w:val="0"/>
          <w:numId w:val="3"/>
        </w:numPr>
        <w:spacing w:line="360" w:lineRule="auto"/>
        <w:ind w:left="714" w:hanging="357"/>
        <w:jc w:val="both"/>
        <w:rPr>
          <w:sz w:val="24"/>
          <w:szCs w:val="24"/>
        </w:rPr>
      </w:pPr>
      <w:r>
        <w:rPr>
          <w:sz w:val="24"/>
          <w:szCs w:val="24"/>
        </w:rPr>
        <w:t xml:space="preserve">il “Piano Nazionale di Digitalizzazione del patrimonio culturale” (PND) redatto dall’Istituto centrale per la digitalizzazione del patrimonio culturale – Digital Library del Ministero della cultura, adottato </w:t>
      </w:r>
      <w:bookmarkStart w:id="0" w:name="OLE_LINK20"/>
      <w:r>
        <w:rPr>
          <w:sz w:val="24"/>
          <w:szCs w:val="24"/>
        </w:rPr>
        <w:t>con determina n.12 del 30 giugno 2022</w:t>
      </w:r>
      <w:bookmarkEnd w:id="0"/>
      <w:r>
        <w:rPr>
          <w:sz w:val="24"/>
          <w:szCs w:val="24"/>
        </w:rPr>
        <w:t>;</w:t>
      </w:r>
    </w:p>
    <w:p w14:paraId="13B7B970" w14:textId="77777777" w:rsidR="00283FA1" w:rsidRDefault="00283FA1" w:rsidP="00151ABF">
      <w:pPr>
        <w:numPr>
          <w:ilvl w:val="0"/>
          <w:numId w:val="3"/>
        </w:numPr>
        <w:spacing w:line="360" w:lineRule="auto"/>
        <w:jc w:val="both"/>
        <w:rPr>
          <w:sz w:val="24"/>
          <w:szCs w:val="24"/>
        </w:rPr>
      </w:pPr>
      <w:r>
        <w:rPr>
          <w:sz w:val="24"/>
          <w:szCs w:val="24"/>
        </w:rPr>
        <w:t xml:space="preserve">il Regolamento (UE) 2021/241 del Parlamento europeo e del Consiglio, del 12 febbraio 2021, che istituisce il dispositivo per la ripresa e la resilienza; </w:t>
      </w:r>
    </w:p>
    <w:p w14:paraId="0A51B25E" w14:textId="77777777" w:rsidR="00283FA1" w:rsidRDefault="00283FA1" w:rsidP="00151ABF">
      <w:pPr>
        <w:numPr>
          <w:ilvl w:val="0"/>
          <w:numId w:val="3"/>
        </w:numPr>
        <w:spacing w:line="360" w:lineRule="auto"/>
        <w:jc w:val="both"/>
        <w:rPr>
          <w:sz w:val="24"/>
          <w:szCs w:val="24"/>
        </w:rPr>
      </w:pPr>
      <w:r>
        <w:rPr>
          <w:sz w:val="24"/>
          <w:szCs w:val="24"/>
        </w:rPr>
        <w:t>l’art. 17 del Regolamento (UE) 2020/852 che definisce gli obiettivi ambientali, tra cui il principio di non arrecare un danno significativo (DNSH, “</w:t>
      </w:r>
      <w:r>
        <w:rPr>
          <w:i/>
          <w:iCs/>
          <w:sz w:val="24"/>
          <w:szCs w:val="24"/>
        </w:rPr>
        <w:t xml:space="preserve">Do no </w:t>
      </w:r>
      <w:proofErr w:type="spellStart"/>
      <w:r>
        <w:rPr>
          <w:i/>
          <w:iCs/>
          <w:sz w:val="24"/>
          <w:szCs w:val="24"/>
        </w:rPr>
        <w:t>significant</w:t>
      </w:r>
      <w:proofErr w:type="spellEnd"/>
      <w:r>
        <w:rPr>
          <w:i/>
          <w:iCs/>
          <w:sz w:val="24"/>
          <w:szCs w:val="24"/>
        </w:rPr>
        <w:t xml:space="preserve"> </w:t>
      </w:r>
      <w:proofErr w:type="spellStart"/>
      <w:r>
        <w:rPr>
          <w:i/>
          <w:iCs/>
          <w:sz w:val="24"/>
          <w:szCs w:val="24"/>
        </w:rPr>
        <w:t>harm</w:t>
      </w:r>
      <w:proofErr w:type="spellEnd"/>
      <w:r>
        <w:rPr>
          <w:sz w:val="24"/>
          <w:szCs w:val="24"/>
        </w:rPr>
        <w:t>”), e la Comunicazione della Commissione UE 2021/C 58/01 recante “</w:t>
      </w:r>
      <w:r>
        <w:rPr>
          <w:i/>
          <w:iCs/>
          <w:sz w:val="24"/>
          <w:szCs w:val="24"/>
        </w:rPr>
        <w:t>Orientamenti tecnici sull’applicazione del principio «non arrecare un danno significativo» a norma del regolamento sul dispositivo per la ripresa e la resilienza</w:t>
      </w:r>
      <w:r>
        <w:rPr>
          <w:sz w:val="24"/>
          <w:szCs w:val="24"/>
        </w:rPr>
        <w:t>”;</w:t>
      </w:r>
    </w:p>
    <w:p w14:paraId="7B3467DB" w14:textId="77777777" w:rsidR="00283FA1" w:rsidRDefault="00283FA1" w:rsidP="00151ABF">
      <w:pPr>
        <w:numPr>
          <w:ilvl w:val="0"/>
          <w:numId w:val="3"/>
        </w:numPr>
        <w:spacing w:line="360" w:lineRule="auto"/>
        <w:jc w:val="both"/>
        <w:rPr>
          <w:sz w:val="24"/>
          <w:szCs w:val="24"/>
        </w:rPr>
      </w:pPr>
      <w:r>
        <w:rPr>
          <w:sz w:val="24"/>
          <w:szCs w:val="24"/>
        </w:rPr>
        <w:t xml:space="preserve">il decreto-legge </w:t>
      </w:r>
      <w:proofErr w:type="gramStart"/>
      <w:r>
        <w:rPr>
          <w:sz w:val="24"/>
          <w:szCs w:val="24"/>
        </w:rPr>
        <w:t>1 marzo</w:t>
      </w:r>
      <w:proofErr w:type="gramEnd"/>
      <w:r>
        <w:rPr>
          <w:sz w:val="24"/>
          <w:szCs w:val="24"/>
        </w:rPr>
        <w:t xml:space="preserve"> 2021, n. 22, convertito con modificazioni dalla legge 22 aprile 2021, n. 55, recante “</w:t>
      </w:r>
      <w:r>
        <w:rPr>
          <w:i/>
          <w:iCs/>
          <w:sz w:val="24"/>
          <w:szCs w:val="24"/>
        </w:rPr>
        <w:t>Disposizioni urgenti in materia di riordino delle attribuzioni dei Ministeri</w:t>
      </w:r>
      <w:r>
        <w:rPr>
          <w:sz w:val="24"/>
          <w:szCs w:val="24"/>
        </w:rPr>
        <w:t>”;</w:t>
      </w:r>
    </w:p>
    <w:p w14:paraId="2481471A" w14:textId="77777777" w:rsidR="00283FA1" w:rsidRDefault="00283FA1" w:rsidP="00151ABF">
      <w:pPr>
        <w:numPr>
          <w:ilvl w:val="0"/>
          <w:numId w:val="3"/>
        </w:numPr>
        <w:spacing w:line="360" w:lineRule="auto"/>
        <w:jc w:val="both"/>
        <w:rPr>
          <w:sz w:val="24"/>
          <w:szCs w:val="24"/>
        </w:rPr>
      </w:pPr>
      <w:r>
        <w:rPr>
          <w:sz w:val="24"/>
          <w:szCs w:val="24"/>
        </w:rPr>
        <w:t xml:space="preserve">il Piano Nazionale di Ripresa e Resilienza (PNRR) approvato con Decisione del Consiglio ECOFIN del 13 luglio 2021 e notificata all’Italia dal Segretariato generale del Consiglio con nota LT161/21, del 14 luglio 2021, </w:t>
      </w:r>
      <w:r>
        <w:rPr>
          <w:rStyle w:val="normaltextrun"/>
          <w:color w:val="000000"/>
          <w:sz w:val="24"/>
          <w:szCs w:val="24"/>
          <w:shd w:val="clear" w:color="auto" w:fill="FFFFFF"/>
        </w:rPr>
        <w:t>come modificato, da ultimo, con Decisione del Consiglio ECOFIN 15114/24 del 12 novembre 2024</w:t>
      </w:r>
      <w:r>
        <w:rPr>
          <w:sz w:val="24"/>
          <w:szCs w:val="24"/>
        </w:rPr>
        <w:t xml:space="preserve">; </w:t>
      </w:r>
    </w:p>
    <w:p w14:paraId="0E9184BE" w14:textId="77777777" w:rsidR="00283FA1" w:rsidRDefault="00283FA1" w:rsidP="00151ABF">
      <w:pPr>
        <w:numPr>
          <w:ilvl w:val="0"/>
          <w:numId w:val="3"/>
        </w:numPr>
        <w:spacing w:line="360" w:lineRule="auto"/>
        <w:jc w:val="both"/>
        <w:rPr>
          <w:sz w:val="24"/>
          <w:szCs w:val="24"/>
        </w:rPr>
      </w:pPr>
      <w:r>
        <w:rPr>
          <w:sz w:val="24"/>
          <w:szCs w:val="24"/>
        </w:rPr>
        <w:t xml:space="preserve">il decreto-legge 31 maggio 2021, n. 77, convertito con modificazioni dalla legge 29 luglio 2021, n. 108, recante “Governance del Piano nazionale di ripresa e resilienza e prime misure di rafforzamento delle strutture amministrative e di accelerazione e snellimento delle procedure”, e in particolare l’art. 9, comma 1, ai sensi del quale “Alla realizzazione operativa degli interventi previsti dal PNRR provvedono le Amministrazioni centrali, le Regioni, le Province autonome di Trento e di Bolzano e gli enti locali, sulla base delle specifiche competenze istituzionali, ovvero della diversa titolarità degli interventi definita nel PNRR, attraverso le proprie strutture, ovvero avvalendosi di soggetti attuatori esterni individuati nel PNRR, ovvero con le modalità previste dalla normativa nazionale ed europea vigente. (…)”; </w:t>
      </w:r>
    </w:p>
    <w:p w14:paraId="7F9E2DC2" w14:textId="77777777" w:rsidR="00283FA1" w:rsidRDefault="00283FA1" w:rsidP="00151ABF">
      <w:pPr>
        <w:numPr>
          <w:ilvl w:val="0"/>
          <w:numId w:val="3"/>
        </w:numPr>
        <w:spacing w:line="360" w:lineRule="auto"/>
        <w:jc w:val="both"/>
        <w:rPr>
          <w:sz w:val="24"/>
          <w:szCs w:val="24"/>
        </w:rPr>
      </w:pPr>
      <w:r>
        <w:rPr>
          <w:sz w:val="24"/>
          <w:szCs w:val="24"/>
        </w:rPr>
        <w:t xml:space="preserve">il decreto-legge 9 giugno 2021, n. 80, convertito con modificazioni dalla legge 6 agosto 2021, n. 113, recante “Misure urgenti per il rafforzamento della capacità amministrativa delle pubbliche amministrazioni funzionale all'attuazione del Piano nazionale di ripresa e resilienza (PNRR) e per l'efficienza della giustizia”; </w:t>
      </w:r>
    </w:p>
    <w:p w14:paraId="724E6947" w14:textId="77777777" w:rsidR="00283FA1" w:rsidRDefault="00283FA1" w:rsidP="00151ABF">
      <w:pPr>
        <w:numPr>
          <w:ilvl w:val="0"/>
          <w:numId w:val="3"/>
        </w:numPr>
        <w:spacing w:line="360" w:lineRule="auto"/>
        <w:jc w:val="both"/>
        <w:rPr>
          <w:sz w:val="24"/>
          <w:szCs w:val="24"/>
        </w:rPr>
      </w:pPr>
      <w:r>
        <w:rPr>
          <w:sz w:val="24"/>
          <w:szCs w:val="24"/>
        </w:rPr>
        <w:t xml:space="preserve">il decreto del Presidente del Consiglio dei ministri 7 luglio 2021, che individua le amministrazioni centrali di cui all’art. 8 del decreto-legge 31 maggio 2021, n. 77, titolari di interventi previsti nel PNRR, che provvedono al coordinamento delle relative attività di gestione nonché al loro monitoraggio, rendicontazione e controllo; </w:t>
      </w:r>
    </w:p>
    <w:p w14:paraId="4529C819" w14:textId="77777777" w:rsidR="00283FA1" w:rsidRDefault="00283FA1" w:rsidP="00151ABF">
      <w:pPr>
        <w:numPr>
          <w:ilvl w:val="0"/>
          <w:numId w:val="3"/>
        </w:numPr>
        <w:spacing w:line="360" w:lineRule="auto"/>
        <w:jc w:val="both"/>
        <w:rPr>
          <w:sz w:val="24"/>
          <w:szCs w:val="24"/>
        </w:rPr>
      </w:pPr>
      <w:r>
        <w:rPr>
          <w:sz w:val="24"/>
          <w:szCs w:val="24"/>
        </w:rPr>
        <w:t xml:space="preserve">il decreto del Ministro dell’economia e delle finanze del 6 agosto 2021, adottato ai sensi dell’art. 7, primo comma, ultimo periodo, del decreto-legge 9 giugno 2021, n. 80, pubblicato in GU Serie Generale n. 229 del 24 settembre 2021, relativo all’assegnazione delle risorse in favore di ciascuna Amministrazione responsabile degli interventi PNRR e corrispondenti milestone e target, come aggiornato con decreto del Ragioniere generale dello Stato del 3 maggio 2024; </w:t>
      </w:r>
    </w:p>
    <w:p w14:paraId="6EEE31EF" w14:textId="77777777" w:rsidR="00283FA1" w:rsidRDefault="00283FA1" w:rsidP="00151ABF">
      <w:pPr>
        <w:numPr>
          <w:ilvl w:val="0"/>
          <w:numId w:val="3"/>
        </w:numPr>
        <w:spacing w:line="360" w:lineRule="auto"/>
        <w:jc w:val="both"/>
        <w:rPr>
          <w:sz w:val="24"/>
          <w:szCs w:val="24"/>
        </w:rPr>
      </w:pPr>
      <w:r>
        <w:rPr>
          <w:sz w:val="24"/>
          <w:szCs w:val="24"/>
        </w:rPr>
        <w:t xml:space="preserve">il decreto del Presidente del Consiglio dei ministri del 15 settembre 2021 nel quale sono definite le modalità di rilevazione dei dati di attuazione finanziaria, fisica e procedurale relativi a ciascun progetto, da rendere disponibili in formato elaborabile, con particolare riferimento ai costi programmati, agli obiettivi perseguiti, alla spesa sostenuta, alle ricadute sui territori che ne beneficiano, ai soggetti attuatori, ai tempi di realizzazione previsti ed effettivi, agli indicatori di realizzazione e di risultato, nonché a ogni altro elemento utile per l'analisi e la valutazione degli interventi; </w:t>
      </w:r>
    </w:p>
    <w:p w14:paraId="42FE8946" w14:textId="77777777" w:rsidR="00283FA1" w:rsidRDefault="00283FA1" w:rsidP="00151ABF">
      <w:pPr>
        <w:numPr>
          <w:ilvl w:val="0"/>
          <w:numId w:val="3"/>
        </w:numPr>
        <w:spacing w:line="360" w:lineRule="auto"/>
        <w:jc w:val="both"/>
        <w:rPr>
          <w:sz w:val="24"/>
          <w:szCs w:val="24"/>
        </w:rPr>
      </w:pPr>
      <w:r>
        <w:rPr>
          <w:sz w:val="24"/>
          <w:szCs w:val="24"/>
        </w:rPr>
        <w:t xml:space="preserve">il decreto del Ministro dell’economia e delle finanze del 11 ottobre 2021, pubblicato in GU Serie Generale n. 279 del 23 novembre 2021, con il quale sono state rese note le procedure per la gestione del PNRR in merito alle risorse messe in campo e, in particolare, l’art. 2, comma 4, che prevede che per le Amministrazioni dello Stato, titolari di interventi o responsabili della loro diretta attuazione, vengano attivate apposite contabilità speciali ad esse intestate, nell’ambito delle quali saranno gestite le risorse del PNRR; </w:t>
      </w:r>
    </w:p>
    <w:p w14:paraId="39E50830" w14:textId="77777777" w:rsidR="00283FA1" w:rsidRDefault="00283FA1" w:rsidP="00151ABF">
      <w:pPr>
        <w:numPr>
          <w:ilvl w:val="0"/>
          <w:numId w:val="3"/>
        </w:numPr>
        <w:spacing w:line="360" w:lineRule="auto"/>
        <w:jc w:val="both"/>
        <w:rPr>
          <w:sz w:val="24"/>
          <w:szCs w:val="24"/>
        </w:rPr>
      </w:pPr>
      <w:r>
        <w:rPr>
          <w:sz w:val="24"/>
          <w:szCs w:val="24"/>
        </w:rPr>
        <w:t xml:space="preserve">la circolare del Ministero dell’economia e delle finanze del 14 ottobre 2021, n. 21, recante “Piano Nazionale di Ripresa e Resilienza (PNRR) - Trasmissione delle Istruzioni Tecniche per la selezione dei progetti PNRR”; </w:t>
      </w:r>
    </w:p>
    <w:p w14:paraId="2277F766" w14:textId="77777777" w:rsidR="00283FA1" w:rsidRDefault="00283FA1" w:rsidP="00151ABF">
      <w:pPr>
        <w:numPr>
          <w:ilvl w:val="0"/>
          <w:numId w:val="3"/>
        </w:numPr>
        <w:spacing w:line="360" w:lineRule="auto"/>
        <w:jc w:val="both"/>
        <w:rPr>
          <w:sz w:val="24"/>
          <w:szCs w:val="24"/>
        </w:rPr>
      </w:pPr>
      <w:r>
        <w:rPr>
          <w:sz w:val="24"/>
          <w:szCs w:val="24"/>
        </w:rPr>
        <w:t xml:space="preserve">la nota n. 281033 del 10 novembre 2021, con la quale il Ministero dell’economia e delle finanze ha comunicato che in favore del Ministero della cultura è stata attivata la contabilità speciale numero 6285 denominata “PNRR-MINISTERO CULTURA” e che all’allegato 1 della medesima nota sono indicati i codici di ciascuno degli investimenti assegnati alla titolarità del Ministero della cultura; </w:t>
      </w:r>
    </w:p>
    <w:p w14:paraId="6F5AD559" w14:textId="77777777" w:rsidR="00283FA1" w:rsidRDefault="00283FA1" w:rsidP="00151ABF">
      <w:pPr>
        <w:numPr>
          <w:ilvl w:val="0"/>
          <w:numId w:val="3"/>
        </w:numPr>
        <w:spacing w:line="360" w:lineRule="auto"/>
        <w:jc w:val="both"/>
        <w:rPr>
          <w:sz w:val="24"/>
          <w:szCs w:val="24"/>
        </w:rPr>
      </w:pPr>
      <w:r>
        <w:rPr>
          <w:sz w:val="24"/>
          <w:szCs w:val="24"/>
        </w:rPr>
        <w:t>la circolare del Ministero dell’economia e delle finanze del 30 dicembre 2021, n. 32, recante “Piano Nazionale di Ripresa e Resilienza – Guida operativa per il rispetto del principio di non arrecare danno significativo all’ambiente”, aggiornata da ultimo con la circolare del 14 maggio 2024, n. 22;</w:t>
      </w:r>
    </w:p>
    <w:p w14:paraId="0AB7BA9C" w14:textId="77777777" w:rsidR="00283FA1" w:rsidRDefault="00283FA1" w:rsidP="00151ABF">
      <w:pPr>
        <w:numPr>
          <w:ilvl w:val="0"/>
          <w:numId w:val="3"/>
        </w:numPr>
        <w:spacing w:line="360" w:lineRule="auto"/>
        <w:jc w:val="both"/>
        <w:rPr>
          <w:sz w:val="24"/>
          <w:szCs w:val="24"/>
        </w:rPr>
      </w:pPr>
      <w:r>
        <w:rPr>
          <w:sz w:val="24"/>
          <w:szCs w:val="24"/>
        </w:rPr>
        <w:t xml:space="preserve">la circolare del Ministero dell’economia e delle finanze del 10 febbraio 2022, n. 9, recante “Piano Nazionale di Ripresa e Resilienza (PNRR) – Trasmissione delle Istruzioni tecniche per la redazione dei sistemi di gestione e controllo delle amministrazioni centrali titolari di interventi del PNRR”, e in particolare la definizione di “Soggetto esecutore” quale soggetto a vario titolo coinvolto nella realizzazione del progetto e individuato dal Soggetto attuatore nel rispetto della normativa comunitaria e nazionale applicabile; </w:t>
      </w:r>
    </w:p>
    <w:p w14:paraId="457EAF24" w14:textId="77777777" w:rsidR="00283FA1" w:rsidRDefault="00283FA1" w:rsidP="00151ABF">
      <w:pPr>
        <w:numPr>
          <w:ilvl w:val="0"/>
          <w:numId w:val="3"/>
        </w:numPr>
        <w:spacing w:line="360" w:lineRule="auto"/>
        <w:jc w:val="both"/>
        <w:rPr>
          <w:sz w:val="24"/>
          <w:szCs w:val="24"/>
        </w:rPr>
      </w:pPr>
      <w:r>
        <w:rPr>
          <w:sz w:val="24"/>
          <w:szCs w:val="24"/>
        </w:rPr>
        <w:t xml:space="preserve">il decreto direttoriale 23 dicembre 2022, rep. n. 21, con il quale è stata approvata la versione 1.1 del “Piano nazionale di digitalizzazione del patrimonio culturale 2022-2023”, pubblicato e reso accessibile sul sito di Docs Italia; </w:t>
      </w:r>
    </w:p>
    <w:p w14:paraId="2811C1F6" w14:textId="77777777" w:rsidR="00283FA1" w:rsidRDefault="00283FA1" w:rsidP="00151ABF">
      <w:pPr>
        <w:numPr>
          <w:ilvl w:val="0"/>
          <w:numId w:val="3"/>
        </w:numPr>
        <w:spacing w:line="360" w:lineRule="auto"/>
        <w:jc w:val="both"/>
        <w:rPr>
          <w:sz w:val="24"/>
          <w:szCs w:val="24"/>
        </w:rPr>
      </w:pPr>
      <w:r>
        <w:rPr>
          <w:sz w:val="24"/>
          <w:szCs w:val="24"/>
        </w:rPr>
        <w:t>il decreto-legge 24 febbraio 2023, n. 13, convertito con modificazioni dalla legge 21 aprile 2023, n. 41, recante “Disposizioni urgenti per l’attuazione del Piano Nazionale di Ripresa e Resilienza (PNRR) e del Piano Nazionale degli investimenti complementari al PNRR (PNC), nonché per l’attuazione delle politiche di coesione e della politica agricola comune”;</w:t>
      </w:r>
    </w:p>
    <w:p w14:paraId="4C4AB197" w14:textId="77777777" w:rsidR="00283FA1" w:rsidRDefault="00283FA1" w:rsidP="00151ABF">
      <w:pPr>
        <w:numPr>
          <w:ilvl w:val="0"/>
          <w:numId w:val="3"/>
        </w:numPr>
        <w:spacing w:line="360" w:lineRule="auto"/>
        <w:jc w:val="both"/>
        <w:rPr>
          <w:sz w:val="24"/>
          <w:szCs w:val="24"/>
        </w:rPr>
      </w:pPr>
      <w:r>
        <w:rPr>
          <w:sz w:val="24"/>
          <w:szCs w:val="24"/>
        </w:rPr>
        <w:t xml:space="preserve">il decreto legislativo 31 marzo 2023, n. 36, e successive modificazioni, recante “Codice dei contratti pubblici in attuazione dell’articolo 1 della legge 21 giugno 2022, n. 78, recante delega al Governo in materia di contratti pubblici”, e in particolare l’art. 7 “Principio di auto-organizzazione amministrativa”, comma 4, inerente alla cooperazione tra stazioni appaltanti o enti concedenti volta al perseguimento di obiettivi di interesse comune; </w:t>
      </w:r>
    </w:p>
    <w:p w14:paraId="688BC2AC" w14:textId="77777777" w:rsidR="00283FA1" w:rsidRDefault="00283FA1" w:rsidP="00151ABF">
      <w:pPr>
        <w:numPr>
          <w:ilvl w:val="0"/>
          <w:numId w:val="3"/>
        </w:numPr>
        <w:spacing w:line="360" w:lineRule="auto"/>
        <w:jc w:val="both"/>
        <w:rPr>
          <w:sz w:val="24"/>
          <w:szCs w:val="24"/>
        </w:rPr>
      </w:pPr>
      <w:r>
        <w:rPr>
          <w:sz w:val="24"/>
          <w:szCs w:val="24"/>
        </w:rPr>
        <w:t xml:space="preserve">il decreto-legge 2 marzo 2024, n. 19, convertito con modificazioni dalla legge 29 aprile 2024, n. 56, recante “Ulteriori disposizioni urgenti per l'attuazione del Piano nazionale di ripresa e resilienza (PNRR)”; </w:t>
      </w:r>
    </w:p>
    <w:p w14:paraId="54B83200" w14:textId="77777777" w:rsidR="00283FA1" w:rsidRDefault="00283FA1" w:rsidP="00151ABF">
      <w:pPr>
        <w:numPr>
          <w:ilvl w:val="0"/>
          <w:numId w:val="3"/>
        </w:numPr>
        <w:spacing w:line="360" w:lineRule="auto"/>
        <w:jc w:val="both"/>
        <w:rPr>
          <w:sz w:val="24"/>
          <w:szCs w:val="24"/>
        </w:rPr>
      </w:pPr>
      <w:r>
        <w:rPr>
          <w:sz w:val="24"/>
          <w:szCs w:val="24"/>
        </w:rPr>
        <w:t xml:space="preserve">il decreto del Presidente del Consiglio dei ministri 15 marzo 2024, n. 57, recante “Regolamento di organizzazione del Ministero della cultura, degli uffici di diretta collaborazione del Ministro e dell’Organismo indipendente di valutazione della performance”, pubblicato in GU Serie Generale n. 102 del 3 maggio 2024, e in particolare:  </w:t>
      </w:r>
    </w:p>
    <w:p w14:paraId="39630AF5" w14:textId="77777777" w:rsidR="00283FA1" w:rsidRDefault="00283FA1" w:rsidP="00151ABF">
      <w:pPr>
        <w:numPr>
          <w:ilvl w:val="1"/>
          <w:numId w:val="3"/>
        </w:numPr>
        <w:spacing w:line="360" w:lineRule="auto"/>
        <w:jc w:val="both"/>
        <w:rPr>
          <w:sz w:val="24"/>
          <w:szCs w:val="24"/>
        </w:rPr>
      </w:pPr>
      <w:r>
        <w:rPr>
          <w:sz w:val="24"/>
          <w:szCs w:val="24"/>
        </w:rPr>
        <w:t xml:space="preserve">l’art. 12 “Direzione generale Digitalizzazione e comunicazione”, comma 4, il quale prevede che “Nell'ambito della Direzione generale opera, come articolazione organizzativa, l'Istituto centrale per la digitalizzazione del patrimonio culturale - Digital Library” (di seguito “Digital Library” o “Istituto”); </w:t>
      </w:r>
    </w:p>
    <w:p w14:paraId="27A8347E" w14:textId="77777777" w:rsidR="00283FA1" w:rsidRDefault="00283FA1" w:rsidP="00151ABF">
      <w:pPr>
        <w:numPr>
          <w:ilvl w:val="1"/>
          <w:numId w:val="3"/>
        </w:numPr>
        <w:spacing w:line="360" w:lineRule="auto"/>
        <w:jc w:val="both"/>
        <w:rPr>
          <w:sz w:val="24"/>
          <w:szCs w:val="24"/>
        </w:rPr>
      </w:pPr>
      <w:r>
        <w:rPr>
          <w:sz w:val="24"/>
          <w:szCs w:val="24"/>
        </w:rPr>
        <w:t xml:space="preserve">l’art. 22 relativo all’Unità di missione per l’attuazione del PNRR, la quale assicura ai sensi dell’art. 8, comma 1, del decreto-legge 31 maggio 2021, n. 77, convertito con modificazioni dalla legge 29 luglio 2021, n. 108, il coordinamento e l’attuazione, anche in collaborazione con le altre amministrazioni competenti, degli interventi e dei progetti del PNRR attribuiti alla responsabilità del Ministero; </w:t>
      </w:r>
    </w:p>
    <w:p w14:paraId="7AF2974B" w14:textId="77777777" w:rsidR="00283FA1" w:rsidRDefault="00283FA1" w:rsidP="00151ABF">
      <w:pPr>
        <w:numPr>
          <w:ilvl w:val="0"/>
          <w:numId w:val="3"/>
        </w:numPr>
        <w:spacing w:line="360" w:lineRule="auto"/>
        <w:jc w:val="both"/>
        <w:rPr>
          <w:sz w:val="24"/>
          <w:szCs w:val="24"/>
        </w:rPr>
      </w:pPr>
      <w:r>
        <w:rPr>
          <w:sz w:val="24"/>
          <w:szCs w:val="24"/>
        </w:rPr>
        <w:t>il decreto ministeriale 5 settembre 2024, rep. n. 270, recante “</w:t>
      </w:r>
      <w:r>
        <w:rPr>
          <w:i/>
          <w:iCs/>
          <w:sz w:val="24"/>
          <w:szCs w:val="24"/>
        </w:rPr>
        <w:t>Articolazione degli uffici dirigenziali e degli istituti dotati di autonomia speciale di livello non generale del Ministero della cultura</w:t>
      </w:r>
      <w:r>
        <w:rPr>
          <w:sz w:val="24"/>
          <w:szCs w:val="24"/>
        </w:rPr>
        <w:t xml:space="preserve">”, e in particolare l’art. 29 relativo alla </w:t>
      </w:r>
      <w:r>
        <w:rPr>
          <w:i/>
          <w:iCs/>
          <w:sz w:val="24"/>
          <w:szCs w:val="24"/>
        </w:rPr>
        <w:t>Digital Library</w:t>
      </w:r>
      <w:r>
        <w:rPr>
          <w:sz w:val="24"/>
          <w:szCs w:val="24"/>
        </w:rPr>
        <w:t>, definita quale ufficio di livello dirigenziale non generale dotato di autonomia speciale e articolazione organizzativa della Direzione generale Digitalizzazione e comunicazione;</w:t>
      </w:r>
    </w:p>
    <w:p w14:paraId="47A30A10" w14:textId="77777777" w:rsidR="00283FA1" w:rsidRDefault="00283FA1" w:rsidP="00151ABF">
      <w:pPr>
        <w:numPr>
          <w:ilvl w:val="0"/>
          <w:numId w:val="3"/>
        </w:numPr>
        <w:spacing w:line="360" w:lineRule="auto"/>
        <w:jc w:val="both"/>
        <w:rPr>
          <w:sz w:val="24"/>
          <w:szCs w:val="24"/>
        </w:rPr>
      </w:pPr>
      <w:r>
        <w:rPr>
          <w:sz w:val="24"/>
          <w:szCs w:val="24"/>
        </w:rPr>
        <w:t xml:space="preserve">il decreto di nomina prot. n. 32 del 23 luglio 2025, con il quale è stato attribuito al dott. Giuliano Romalli l’incarico di funzione dirigenziale di livello non generale, di direzione dell’Istituto centrale per la digitalizzazione del patrimonio culturale” («Digital Library») - Direzione generale Digitalizzazione e comunicazione, nell’ambito del Dipartimento per l’Amministrazione generale del Ministero della cultura, ai sensi dell’art. 19, comma 5, del decreto legislativo 30 marzo 2001, n. 165; </w:t>
      </w:r>
    </w:p>
    <w:p w14:paraId="54C5DE5B" w14:textId="77777777" w:rsidR="00283FA1" w:rsidRDefault="00283FA1" w:rsidP="00151ABF">
      <w:pPr>
        <w:numPr>
          <w:ilvl w:val="0"/>
          <w:numId w:val="3"/>
        </w:numPr>
        <w:spacing w:line="360" w:lineRule="auto"/>
        <w:jc w:val="both"/>
        <w:rPr>
          <w:sz w:val="24"/>
          <w:szCs w:val="24"/>
        </w:rPr>
      </w:pPr>
      <w:r>
        <w:rPr>
          <w:sz w:val="24"/>
          <w:szCs w:val="24"/>
        </w:rPr>
        <w:t>il decreto del Direttore generale dell’Unità di Missione 8 agosto 2025, n. 5, con il quale è stato adottato il “Sistema di Gestione e Controllo del Ministero della Cultura PNRR-M1C3- (</w:t>
      </w:r>
      <w:proofErr w:type="spellStart"/>
      <w:r>
        <w:rPr>
          <w:sz w:val="24"/>
          <w:szCs w:val="24"/>
        </w:rPr>
        <w:t>Si.Ge.Co</w:t>
      </w:r>
      <w:proofErr w:type="spellEnd"/>
      <w:r>
        <w:rPr>
          <w:sz w:val="24"/>
          <w:szCs w:val="24"/>
        </w:rPr>
        <w:t>.) Versione 1.6 del 8 agosto 2025”;</w:t>
      </w:r>
    </w:p>
    <w:p w14:paraId="45F01B08" w14:textId="77777777" w:rsidR="00283FA1" w:rsidRDefault="00283FA1" w:rsidP="00151ABF">
      <w:pPr>
        <w:numPr>
          <w:ilvl w:val="0"/>
          <w:numId w:val="3"/>
        </w:numPr>
        <w:spacing w:line="360" w:lineRule="auto"/>
        <w:jc w:val="both"/>
        <w:rPr>
          <w:sz w:val="24"/>
          <w:szCs w:val="24"/>
        </w:rPr>
      </w:pPr>
      <w:r>
        <w:rPr>
          <w:sz w:val="24"/>
          <w:szCs w:val="24"/>
        </w:rPr>
        <w:t>il decreto del Capo Dipartimento del 16 settembre 2025, rep. n. 2052, recante “Modello di Governance per l’attuazione del Piano Nazionale di Recupero e Resilienza e del Piano nazionale per gli investimenti complementari al Piano nazionale di ripresa e resilienza (PNC) a titolarità del Ministero della Cultura”, che abroga il precedente decreto del Segretario generale del 21 marzo 2024, rep. n. 266;</w:t>
      </w:r>
    </w:p>
    <w:p w14:paraId="2749D0CF" w14:textId="77777777" w:rsidR="00283FA1" w:rsidRDefault="00283FA1" w:rsidP="00151ABF">
      <w:pPr>
        <w:numPr>
          <w:ilvl w:val="0"/>
          <w:numId w:val="3"/>
        </w:numPr>
        <w:spacing w:line="360" w:lineRule="auto"/>
        <w:jc w:val="both"/>
        <w:rPr>
          <w:sz w:val="24"/>
          <w:szCs w:val="24"/>
        </w:rPr>
      </w:pPr>
      <w:r>
        <w:rPr>
          <w:sz w:val="24"/>
          <w:szCs w:val="24"/>
        </w:rPr>
        <w:t>la Missione 1 “Digitalizzazione, innovazione, competitività, cultura e turismo”, Componente 3 “Turismo e cultura 4.0.”, Investimento 1.1 del PNRR che prevede lo sviluppo di strategie e piattaforme digitali per la conservazione del patrimonio culturale.</w:t>
      </w:r>
    </w:p>
    <w:p w14:paraId="1C17388F" w14:textId="7A776816" w:rsidR="002416C8" w:rsidRPr="006F061D" w:rsidRDefault="000B58B3">
      <w:pPr>
        <w:pStyle w:val="NoSpacing"/>
        <w:spacing w:after="120"/>
        <w:jc w:val="center"/>
        <w:rPr>
          <w:b/>
          <w:bCs/>
          <w:sz w:val="24"/>
          <w:szCs w:val="24"/>
        </w:rPr>
      </w:pPr>
      <w:r w:rsidRPr="1AD2423B">
        <w:rPr>
          <w:b/>
          <w:bCs/>
          <w:sz w:val="24"/>
          <w:szCs w:val="24"/>
        </w:rPr>
        <w:t>PREMESSO CHE</w:t>
      </w:r>
    </w:p>
    <w:p w14:paraId="44E65280" w14:textId="77777777" w:rsidR="001C6C8C" w:rsidRDefault="001C6C8C" w:rsidP="00151ABF">
      <w:pPr>
        <w:numPr>
          <w:ilvl w:val="0"/>
          <w:numId w:val="12"/>
        </w:numPr>
        <w:spacing w:line="360" w:lineRule="auto"/>
        <w:jc w:val="both"/>
        <w:rPr>
          <w:sz w:val="24"/>
          <w:szCs w:val="24"/>
        </w:rPr>
      </w:pPr>
      <w:r>
        <w:rPr>
          <w:sz w:val="24"/>
          <w:szCs w:val="24"/>
        </w:rPr>
        <w:t xml:space="preserve">il Ministero della Cultura ricopre il ruolo di Amministrazione centrale titolare di interventi PNRR e l’Istituto centrale per la digitalizzazione del patrimonio culturale – Digital Library dello stesso Ministero - è stato individuato quale Struttura delegata al coordinamento del processo di attuazione dell’Investimento del Piano Nazionale di Ripresa e Resilienza (PNRR) “Strategie e piattaforme digitali per il patrimonio culturale”, nell’ambito della Missione 1 – Digitalizzazione, innovazione, competitività, cultura e turismo, Componente 3 – Turismo e cultura 4.0, Misura 1. Patrimonio culturale per la prossima generazione; </w:t>
      </w:r>
    </w:p>
    <w:p w14:paraId="45B9709E" w14:textId="77777777" w:rsidR="0064201F" w:rsidRDefault="0064201F" w:rsidP="00151ABF">
      <w:pPr>
        <w:numPr>
          <w:ilvl w:val="0"/>
          <w:numId w:val="12"/>
        </w:numPr>
        <w:spacing w:line="360" w:lineRule="auto"/>
        <w:jc w:val="both"/>
        <w:rPr>
          <w:sz w:val="24"/>
          <w:szCs w:val="24"/>
        </w:rPr>
      </w:pPr>
      <w:r>
        <w:rPr>
          <w:sz w:val="24"/>
          <w:szCs w:val="24"/>
        </w:rPr>
        <w:t xml:space="preserve">l’investimento PNRR M1C3 1.1 – “Strategie e piattaforme digitali per il patrimonio culturale”, diviso in 12 sub-investimenti distinti per tipologia di servizi, nasce dalla constatazione che l’attuale frammentazione dei sistemi informativi e la carenza di competenze digitali limitino fortemente la transizione al digitale delle istituzioni culturali, l’accesso alle risorse digitali sul patrimonio culturale, nonché́ le opportunità per le imprese culturali/creative di utilizzare e riutilizzare le informazioni per i loro prodotti e servizi; </w:t>
      </w:r>
    </w:p>
    <w:p w14:paraId="76222F84" w14:textId="77777777" w:rsidR="0064201F" w:rsidRDefault="0064201F" w:rsidP="00151ABF">
      <w:pPr>
        <w:numPr>
          <w:ilvl w:val="0"/>
          <w:numId w:val="12"/>
        </w:numPr>
        <w:spacing w:line="360" w:lineRule="auto"/>
        <w:jc w:val="both"/>
        <w:rPr>
          <w:sz w:val="24"/>
          <w:szCs w:val="24"/>
        </w:rPr>
      </w:pPr>
      <w:r>
        <w:rPr>
          <w:sz w:val="24"/>
          <w:szCs w:val="24"/>
        </w:rPr>
        <w:t xml:space="preserve">la finalità ambiziosa dell’intero programma è quella di colmare </w:t>
      </w:r>
      <w:proofErr w:type="spellStart"/>
      <w:r>
        <w:rPr>
          <w:sz w:val="24"/>
          <w:szCs w:val="24"/>
        </w:rPr>
        <w:t>i</w:t>
      </w:r>
      <w:proofErr w:type="spellEnd"/>
      <w:r>
        <w:rPr>
          <w:sz w:val="24"/>
          <w:szCs w:val="24"/>
        </w:rPr>
        <w:t xml:space="preserve"> </w:t>
      </w:r>
      <w:proofErr w:type="gramStart"/>
      <w:r>
        <w:rPr>
          <w:i/>
          <w:iCs/>
          <w:sz w:val="24"/>
          <w:szCs w:val="24"/>
        </w:rPr>
        <w:t>gap</w:t>
      </w:r>
      <w:proofErr w:type="gramEnd"/>
      <w:r>
        <w:rPr>
          <w:sz w:val="24"/>
          <w:szCs w:val="24"/>
        </w:rPr>
        <w:t xml:space="preserve"> nella transizione digitale e massimizzare il potenziale di musei, archivi, biblioteche, soprintendenze, istituti e luoghi della cultura pubblici che conservano, tutelano, gestiscono e/o valorizzano beni culturali, anche tramite la creazione di una nuova infrastruttura digitale nazionale che raccolga, integri e conservi i dati relativi a tale patrimonio, rendendoli fruibili attraverso piattaforme innovative e differenziate;</w:t>
      </w:r>
    </w:p>
    <w:p w14:paraId="1885DE28" w14:textId="77777777" w:rsidR="0064201F" w:rsidRDefault="0064201F" w:rsidP="00151ABF">
      <w:pPr>
        <w:numPr>
          <w:ilvl w:val="0"/>
          <w:numId w:val="12"/>
        </w:numPr>
        <w:spacing w:line="360" w:lineRule="auto"/>
        <w:jc w:val="both"/>
        <w:rPr>
          <w:sz w:val="24"/>
          <w:szCs w:val="24"/>
        </w:rPr>
      </w:pPr>
      <w:r>
        <w:rPr>
          <w:sz w:val="24"/>
          <w:szCs w:val="24"/>
        </w:rPr>
        <w:t xml:space="preserve">il sub-investimento M1C3 1.1.4 (CUP F81B21007750006) è finalizzato alla creazione di </w:t>
      </w:r>
      <w:proofErr w:type="spellStart"/>
      <w:r>
        <w:rPr>
          <w:sz w:val="24"/>
          <w:szCs w:val="24"/>
        </w:rPr>
        <w:t>I.PaC</w:t>
      </w:r>
      <w:proofErr w:type="spellEnd"/>
      <w:r>
        <w:rPr>
          <w:sz w:val="24"/>
          <w:szCs w:val="24"/>
        </w:rPr>
        <w:t xml:space="preserve"> (Infrastruttura e servizi digitali per il patrimonio culturale), ossia di un’infrastruttura tecnologica che offre servizi digitali avanzati, basati su tecnologie innovative orientate al Cloud che ospita, attraverso uno spazio dati, il patrimonio culturale digitalizzato e offre servizi tecnologici per arricchirlo e valorizzarlo nella logica della apertura a nuovi mercati e della API</w:t>
      </w:r>
      <w:r>
        <w:rPr>
          <w:i/>
          <w:iCs/>
          <w:sz w:val="24"/>
          <w:szCs w:val="24"/>
        </w:rPr>
        <w:t xml:space="preserve"> Economy</w:t>
      </w:r>
      <w:r>
        <w:rPr>
          <w:sz w:val="24"/>
          <w:szCs w:val="24"/>
        </w:rPr>
        <w:t>;</w:t>
      </w:r>
    </w:p>
    <w:p w14:paraId="6612B0D7" w14:textId="5D5CE70E" w:rsidR="00FA442F" w:rsidRPr="006F061D" w:rsidRDefault="00FA442F" w:rsidP="00151ABF">
      <w:pPr>
        <w:numPr>
          <w:ilvl w:val="0"/>
          <w:numId w:val="12"/>
        </w:numPr>
        <w:tabs>
          <w:tab w:val="clear" w:pos="0"/>
          <w:tab w:val="num" w:pos="720"/>
        </w:tabs>
        <w:spacing w:line="360" w:lineRule="auto"/>
        <w:jc w:val="both"/>
        <w:rPr>
          <w:sz w:val="24"/>
          <w:szCs w:val="24"/>
        </w:rPr>
      </w:pPr>
      <w:r w:rsidRPr="006F061D">
        <w:rPr>
          <w:sz w:val="24"/>
          <w:szCs w:val="24"/>
        </w:rPr>
        <w:t xml:space="preserve">con Avviso pubblicato sul sito istituzionale in data </w:t>
      </w:r>
      <w:r w:rsidR="00EA0B96">
        <w:rPr>
          <w:sz w:val="24"/>
          <w:szCs w:val="24"/>
        </w:rPr>
        <w:t>07</w:t>
      </w:r>
      <w:r w:rsidRPr="006F061D">
        <w:rPr>
          <w:sz w:val="24"/>
          <w:szCs w:val="24"/>
        </w:rPr>
        <w:t>/</w:t>
      </w:r>
      <w:r w:rsidR="00EA0B96">
        <w:rPr>
          <w:sz w:val="24"/>
          <w:szCs w:val="24"/>
        </w:rPr>
        <w:t>07</w:t>
      </w:r>
      <w:r w:rsidRPr="006F061D">
        <w:rPr>
          <w:sz w:val="24"/>
          <w:szCs w:val="24"/>
        </w:rPr>
        <w:t>/</w:t>
      </w:r>
      <w:r w:rsidR="00EA0B96">
        <w:rPr>
          <w:sz w:val="24"/>
          <w:szCs w:val="24"/>
        </w:rPr>
        <w:t>2025</w:t>
      </w:r>
      <w:r w:rsidRPr="006F061D">
        <w:rPr>
          <w:sz w:val="24"/>
          <w:szCs w:val="24"/>
        </w:rPr>
        <w:t>,</w:t>
      </w:r>
      <w:r w:rsidR="00EA0B96">
        <w:rPr>
          <w:sz w:val="24"/>
          <w:szCs w:val="24"/>
        </w:rPr>
        <w:t xml:space="preserve"> </w:t>
      </w:r>
      <w:r w:rsidRPr="006F061D">
        <w:rPr>
          <w:sz w:val="24"/>
          <w:szCs w:val="24"/>
        </w:rPr>
        <w:t xml:space="preserve">l’Istituto </w:t>
      </w:r>
      <w:r w:rsidR="006751DD">
        <w:rPr>
          <w:sz w:val="24"/>
          <w:szCs w:val="24"/>
        </w:rPr>
        <w:t>c</w:t>
      </w:r>
      <w:r w:rsidRPr="006F061D">
        <w:rPr>
          <w:sz w:val="24"/>
          <w:szCs w:val="24"/>
        </w:rPr>
        <w:t xml:space="preserve">entrale per la </w:t>
      </w:r>
      <w:r w:rsidR="006751DD">
        <w:rPr>
          <w:sz w:val="24"/>
          <w:szCs w:val="24"/>
        </w:rPr>
        <w:t>d</w:t>
      </w:r>
      <w:r w:rsidRPr="006F061D">
        <w:rPr>
          <w:sz w:val="24"/>
          <w:szCs w:val="24"/>
        </w:rPr>
        <w:t xml:space="preserve">igitalizzazione del </w:t>
      </w:r>
      <w:r w:rsidR="006751DD">
        <w:rPr>
          <w:sz w:val="24"/>
          <w:szCs w:val="24"/>
        </w:rPr>
        <w:t>p</w:t>
      </w:r>
      <w:r w:rsidRPr="006F061D">
        <w:rPr>
          <w:sz w:val="24"/>
          <w:szCs w:val="24"/>
        </w:rPr>
        <w:t xml:space="preserve">atrimonio </w:t>
      </w:r>
      <w:r w:rsidR="006751DD">
        <w:rPr>
          <w:sz w:val="24"/>
          <w:szCs w:val="24"/>
        </w:rPr>
        <w:t>c</w:t>
      </w:r>
      <w:r w:rsidRPr="006F061D">
        <w:rPr>
          <w:sz w:val="24"/>
          <w:szCs w:val="24"/>
        </w:rPr>
        <w:t xml:space="preserve">ulturale – Digital Library </w:t>
      </w:r>
      <w:r w:rsidR="00EA0B96">
        <w:rPr>
          <w:sz w:val="24"/>
          <w:szCs w:val="24"/>
        </w:rPr>
        <w:t xml:space="preserve">- </w:t>
      </w:r>
      <w:r w:rsidRPr="006F061D">
        <w:rPr>
          <w:sz w:val="24"/>
          <w:szCs w:val="24"/>
        </w:rPr>
        <w:t>ha invitato Enti Locali, Università e Istituti della cultura interessati all'iniziativa a presentare richiesta di adesione all'infrastruttura medesima, secondo le modalità e attraverso una delle possibili conformazioni nello stesso Avviso individuate;</w:t>
      </w:r>
    </w:p>
    <w:p w14:paraId="76172708" w14:textId="6BF45A1B" w:rsidR="00FA442F" w:rsidRPr="006F061D" w:rsidRDefault="3B612134" w:rsidP="00151ABF">
      <w:pPr>
        <w:numPr>
          <w:ilvl w:val="0"/>
          <w:numId w:val="12"/>
        </w:numPr>
        <w:tabs>
          <w:tab w:val="num" w:pos="720"/>
        </w:tabs>
        <w:spacing w:line="360" w:lineRule="auto"/>
        <w:jc w:val="both"/>
        <w:rPr>
          <w:sz w:val="24"/>
          <w:szCs w:val="24"/>
        </w:rPr>
      </w:pPr>
      <w:r w:rsidRPr="1AD2423B">
        <w:rPr>
          <w:sz w:val="24"/>
          <w:szCs w:val="24"/>
        </w:rPr>
        <w:t xml:space="preserve">i Soggetti che non hanno presentato richiesta di adesione ai sensi dell’Avviso sopra citato, ovvero che non rientrano nel perimetro dei soggetti in favore dei quali è possibile erogare un finanziamento sulla base dell’Avviso medesimo, possono, se interessati, attraverso sviluppo dei propri sistemi tecnologici, </w:t>
      </w:r>
      <w:r w:rsidR="1C080921" w:rsidRPr="1AD2423B">
        <w:rPr>
          <w:sz w:val="24"/>
          <w:szCs w:val="24"/>
        </w:rPr>
        <w:t xml:space="preserve">cooperare </w:t>
      </w:r>
      <w:r w:rsidRPr="1AD2423B">
        <w:rPr>
          <w:sz w:val="24"/>
          <w:szCs w:val="24"/>
        </w:rPr>
        <w:t xml:space="preserve">con l’infrastruttura </w:t>
      </w:r>
      <w:proofErr w:type="spellStart"/>
      <w:r w:rsidRPr="1AD2423B">
        <w:rPr>
          <w:sz w:val="24"/>
          <w:szCs w:val="24"/>
        </w:rPr>
        <w:t>I.PaC</w:t>
      </w:r>
      <w:proofErr w:type="spellEnd"/>
      <w:r w:rsidRPr="1AD2423B">
        <w:rPr>
          <w:sz w:val="24"/>
          <w:szCs w:val="24"/>
        </w:rPr>
        <w:t>;</w:t>
      </w:r>
    </w:p>
    <w:p w14:paraId="71415291" w14:textId="7D4E9CEB" w:rsidR="00FA442F" w:rsidRPr="006F061D" w:rsidRDefault="3B612134" w:rsidP="00151ABF">
      <w:pPr>
        <w:numPr>
          <w:ilvl w:val="0"/>
          <w:numId w:val="12"/>
        </w:numPr>
        <w:tabs>
          <w:tab w:val="num" w:pos="720"/>
        </w:tabs>
        <w:spacing w:line="360" w:lineRule="auto"/>
        <w:jc w:val="both"/>
        <w:rPr>
          <w:sz w:val="24"/>
          <w:szCs w:val="24"/>
        </w:rPr>
      </w:pPr>
      <w:r w:rsidRPr="1AD2423B">
        <w:rPr>
          <w:sz w:val="24"/>
          <w:szCs w:val="24"/>
        </w:rPr>
        <w:t xml:space="preserve">al fine di agevolare tali percorsi, ICDP-DL intende costituire un Elenco di Operatori del settore appositamente qualificati in possesso di soluzioni tecnologiche delle quali possono avvalersi </w:t>
      </w:r>
      <w:r w:rsidR="00626E3A" w:rsidRPr="1AD2423B">
        <w:rPr>
          <w:sz w:val="24"/>
          <w:szCs w:val="24"/>
        </w:rPr>
        <w:t>s</w:t>
      </w:r>
      <w:r w:rsidR="580446AA" w:rsidRPr="1AD2423B">
        <w:rPr>
          <w:sz w:val="24"/>
          <w:szCs w:val="24"/>
        </w:rPr>
        <w:t>i</w:t>
      </w:r>
      <w:r w:rsidR="00626E3A" w:rsidRPr="1AD2423B">
        <w:rPr>
          <w:sz w:val="24"/>
          <w:szCs w:val="24"/>
        </w:rPr>
        <w:t>a</w:t>
      </w:r>
      <w:r w:rsidR="580446AA" w:rsidRPr="1AD2423B">
        <w:rPr>
          <w:sz w:val="24"/>
          <w:szCs w:val="24"/>
        </w:rPr>
        <w:t xml:space="preserve"> Soggetti pubblici</w:t>
      </w:r>
      <w:r w:rsidR="00626E3A" w:rsidRPr="1AD2423B">
        <w:rPr>
          <w:sz w:val="24"/>
          <w:szCs w:val="24"/>
        </w:rPr>
        <w:t xml:space="preserve"> che privati</w:t>
      </w:r>
      <w:r w:rsidRPr="1AD2423B">
        <w:rPr>
          <w:sz w:val="24"/>
          <w:szCs w:val="24"/>
        </w:rPr>
        <w:t xml:space="preserve"> per </w:t>
      </w:r>
      <w:r w:rsidR="56469507" w:rsidRPr="1AD2423B">
        <w:rPr>
          <w:sz w:val="24"/>
          <w:szCs w:val="24"/>
        </w:rPr>
        <w:t>cooperare</w:t>
      </w:r>
      <w:r w:rsidRPr="1AD2423B">
        <w:rPr>
          <w:sz w:val="24"/>
          <w:szCs w:val="24"/>
        </w:rPr>
        <w:t xml:space="preserve"> a loro volta con l’infrastruttura </w:t>
      </w:r>
      <w:proofErr w:type="spellStart"/>
      <w:r w:rsidR="009D0AFE" w:rsidRPr="1AD2423B">
        <w:rPr>
          <w:sz w:val="24"/>
          <w:szCs w:val="24"/>
        </w:rPr>
        <w:t>I.PaC</w:t>
      </w:r>
      <w:proofErr w:type="spellEnd"/>
      <w:r w:rsidRPr="1AD2423B">
        <w:rPr>
          <w:sz w:val="24"/>
          <w:szCs w:val="24"/>
        </w:rPr>
        <w:t>;</w:t>
      </w:r>
    </w:p>
    <w:p w14:paraId="72097DD5" w14:textId="117DEBE8" w:rsidR="00FA442F" w:rsidRPr="006F061D" w:rsidRDefault="00FA442F" w:rsidP="00151ABF">
      <w:pPr>
        <w:numPr>
          <w:ilvl w:val="0"/>
          <w:numId w:val="12"/>
        </w:numPr>
        <w:tabs>
          <w:tab w:val="num" w:pos="720"/>
        </w:tabs>
        <w:spacing w:line="360" w:lineRule="auto"/>
        <w:jc w:val="both"/>
        <w:rPr>
          <w:sz w:val="24"/>
          <w:szCs w:val="24"/>
        </w:rPr>
      </w:pPr>
      <w:r w:rsidRPr="67B5570E">
        <w:rPr>
          <w:sz w:val="24"/>
          <w:szCs w:val="24"/>
        </w:rPr>
        <w:t xml:space="preserve">con il Regolamento </w:t>
      </w:r>
      <w:r w:rsidR="2FECB1FB" w:rsidRPr="67B5570E">
        <w:rPr>
          <w:sz w:val="24"/>
          <w:szCs w:val="24"/>
        </w:rPr>
        <w:t xml:space="preserve">approvato con determina </w:t>
      </w:r>
      <w:r w:rsidR="2FECB1FB" w:rsidRPr="67B5570E">
        <w:rPr>
          <w:color w:val="000000" w:themeColor="text1"/>
          <w:sz w:val="24"/>
          <w:szCs w:val="24"/>
        </w:rPr>
        <w:t>IC-DP|13/05/2026|DETERMINA 38</w:t>
      </w:r>
      <w:r w:rsidRPr="67B5570E">
        <w:rPr>
          <w:sz w:val="24"/>
          <w:szCs w:val="24"/>
        </w:rPr>
        <w:t>, ICDP-DL ha definito la disciplina generale del procedimento di qualificazione degli Operatori detti</w:t>
      </w:r>
      <w:r w:rsidR="00403CA4" w:rsidRPr="67B5570E">
        <w:rPr>
          <w:sz w:val="24"/>
          <w:szCs w:val="24"/>
        </w:rPr>
        <w:t>;</w:t>
      </w:r>
    </w:p>
    <w:p w14:paraId="712D49A4" w14:textId="473149C3" w:rsidR="00FA442F" w:rsidRPr="006F061D" w:rsidRDefault="00FA442F" w:rsidP="00151ABF">
      <w:pPr>
        <w:numPr>
          <w:ilvl w:val="0"/>
          <w:numId w:val="12"/>
        </w:numPr>
        <w:tabs>
          <w:tab w:val="num" w:pos="720"/>
        </w:tabs>
        <w:spacing w:line="360" w:lineRule="auto"/>
        <w:jc w:val="both"/>
        <w:rPr>
          <w:sz w:val="24"/>
          <w:szCs w:val="24"/>
        </w:rPr>
      </w:pPr>
      <w:r w:rsidRPr="3DB639AF">
        <w:rPr>
          <w:sz w:val="24"/>
          <w:szCs w:val="24"/>
        </w:rPr>
        <w:t xml:space="preserve">in conformità a tale Regolamento, con </w:t>
      </w:r>
      <w:r w:rsidR="008E2BC0" w:rsidRPr="3DB639AF">
        <w:rPr>
          <w:sz w:val="24"/>
          <w:szCs w:val="24"/>
        </w:rPr>
        <w:t>l’</w:t>
      </w:r>
      <w:r w:rsidRPr="3DB639AF">
        <w:rPr>
          <w:sz w:val="24"/>
          <w:szCs w:val="24"/>
        </w:rPr>
        <w:t xml:space="preserve">Avviso </w:t>
      </w:r>
      <w:r w:rsidR="0230648E" w:rsidRPr="3DB639AF">
        <w:rPr>
          <w:color w:val="000000" w:themeColor="text1"/>
          <w:sz w:val="24"/>
          <w:szCs w:val="24"/>
        </w:rPr>
        <w:t>IC-DP|18/05/2026|AVVISO 1</w:t>
      </w:r>
      <w:r w:rsidRPr="3DB639AF">
        <w:rPr>
          <w:sz w:val="24"/>
          <w:szCs w:val="24"/>
        </w:rPr>
        <w:t xml:space="preserve">, ICDP-DL ha invitato gli Operatori economici interessati ad ottenere l'inserimento nel suindicato Elenco di Partner tecnologici qualificati, in possesso di soluzioni tecnologiche </w:t>
      </w:r>
      <w:r w:rsidR="00164800" w:rsidRPr="3DB639AF">
        <w:rPr>
          <w:sz w:val="24"/>
          <w:szCs w:val="24"/>
        </w:rPr>
        <w:t>idonee</w:t>
      </w:r>
      <w:r w:rsidRPr="3DB639AF">
        <w:rPr>
          <w:sz w:val="24"/>
          <w:szCs w:val="24"/>
        </w:rPr>
        <w:t>,</w:t>
      </w:r>
      <w:r w:rsidR="007139B0" w:rsidRPr="3DB639AF">
        <w:rPr>
          <w:sz w:val="24"/>
          <w:szCs w:val="24"/>
        </w:rPr>
        <w:t xml:space="preserve"> anche eventualmente a seguito di apposite attività di adeguamento</w:t>
      </w:r>
      <w:r w:rsidRPr="3DB639AF">
        <w:rPr>
          <w:sz w:val="24"/>
          <w:szCs w:val="24"/>
        </w:rPr>
        <w:t xml:space="preserve"> secondo quanto più precisamente indicato nell'Avviso stesso, a presentare la propria candidatura;</w:t>
      </w:r>
    </w:p>
    <w:p w14:paraId="716EFCC1" w14:textId="5423BF30" w:rsidR="00FA442F" w:rsidRPr="006F061D" w:rsidRDefault="00FA442F" w:rsidP="00151ABF">
      <w:pPr>
        <w:numPr>
          <w:ilvl w:val="0"/>
          <w:numId w:val="12"/>
        </w:numPr>
        <w:spacing w:line="360" w:lineRule="auto"/>
        <w:jc w:val="both"/>
        <w:rPr>
          <w:sz w:val="24"/>
          <w:szCs w:val="24"/>
        </w:rPr>
      </w:pPr>
      <w:r w:rsidRPr="006F061D">
        <w:rPr>
          <w:sz w:val="24"/>
          <w:szCs w:val="24"/>
        </w:rPr>
        <w:t xml:space="preserve">l'Operatore </w:t>
      </w:r>
      <w:r w:rsidR="00B60A75">
        <w:rPr>
          <w:sz w:val="24"/>
          <w:szCs w:val="24"/>
        </w:rPr>
        <w:t>_</w:t>
      </w:r>
      <w:r w:rsidRPr="006F061D">
        <w:rPr>
          <w:sz w:val="24"/>
          <w:szCs w:val="24"/>
        </w:rPr>
        <w:t>_________, meglio individuato in epigrafe, in risposta al suindicato Avviso, ha presentato richiesta di qualificazione per l'inserimento nell'Elenco predetto;</w:t>
      </w:r>
    </w:p>
    <w:p w14:paraId="49E372C5" w14:textId="47341624" w:rsidR="00FA442F" w:rsidRPr="006F061D" w:rsidRDefault="00FA442F" w:rsidP="00151ABF">
      <w:pPr>
        <w:numPr>
          <w:ilvl w:val="0"/>
          <w:numId w:val="12"/>
        </w:numPr>
        <w:spacing w:line="360" w:lineRule="auto"/>
        <w:jc w:val="both"/>
        <w:rPr>
          <w:sz w:val="24"/>
          <w:szCs w:val="24"/>
        </w:rPr>
      </w:pPr>
      <w:r w:rsidRPr="1AD2423B">
        <w:rPr>
          <w:sz w:val="24"/>
          <w:szCs w:val="24"/>
        </w:rPr>
        <w:t xml:space="preserve">sulla base dell'istruttoria condotta da ICDP-DL, la soluzione tecnologica </w:t>
      </w:r>
      <w:r w:rsidRPr="1AD2423B">
        <w:rPr>
          <w:i/>
          <w:iCs/>
          <w:sz w:val="24"/>
          <w:szCs w:val="24"/>
        </w:rPr>
        <w:t>(o le soluzioni tecnologiche, se più d'una)</w:t>
      </w:r>
      <w:r w:rsidRPr="1AD2423B">
        <w:rPr>
          <w:sz w:val="24"/>
          <w:szCs w:val="24"/>
        </w:rPr>
        <w:t xml:space="preserve"> sottoposta dall'Operatore suindicato</w:t>
      </w:r>
      <w:r w:rsidR="00B706F6" w:rsidRPr="1AD2423B">
        <w:rPr>
          <w:sz w:val="24"/>
          <w:szCs w:val="24"/>
        </w:rPr>
        <w:t>,</w:t>
      </w:r>
      <w:r w:rsidRPr="1AD2423B">
        <w:rPr>
          <w:sz w:val="24"/>
          <w:szCs w:val="24"/>
        </w:rPr>
        <w:t xml:space="preserve"> è risultata possedere</w:t>
      </w:r>
      <w:r w:rsidR="00A518BC" w:rsidRPr="1AD2423B">
        <w:rPr>
          <w:sz w:val="24"/>
          <w:szCs w:val="24"/>
        </w:rPr>
        <w:t xml:space="preserve"> (</w:t>
      </w:r>
      <w:r w:rsidR="00A518BC" w:rsidRPr="1AD2423B">
        <w:rPr>
          <w:i/>
          <w:iCs/>
          <w:sz w:val="24"/>
          <w:szCs w:val="24"/>
        </w:rPr>
        <w:t>se del caso: "</w:t>
      </w:r>
      <w:r w:rsidR="00A518BC" w:rsidRPr="1AD2423B">
        <w:rPr>
          <w:sz w:val="24"/>
          <w:szCs w:val="24"/>
        </w:rPr>
        <w:t xml:space="preserve">a seguito della realizzazione degli interventi di adeguamento </w:t>
      </w:r>
      <w:r w:rsidR="000F52A3" w:rsidRPr="1AD2423B">
        <w:rPr>
          <w:sz w:val="24"/>
          <w:szCs w:val="24"/>
        </w:rPr>
        <w:t>necessari</w:t>
      </w:r>
      <w:r w:rsidR="00A518BC" w:rsidRPr="1AD2423B">
        <w:rPr>
          <w:sz w:val="24"/>
          <w:szCs w:val="24"/>
        </w:rPr>
        <w:t xml:space="preserve">") </w:t>
      </w:r>
      <w:r w:rsidRPr="1AD2423B">
        <w:rPr>
          <w:sz w:val="24"/>
          <w:szCs w:val="24"/>
        </w:rPr>
        <w:t>i requisiti tecnici stabiliti per ottenere la qualificazione richiesta, così come descritti nell'</w:t>
      </w:r>
      <w:r w:rsidR="00600D46" w:rsidRPr="1AD2423B">
        <w:rPr>
          <w:sz w:val="24"/>
          <w:szCs w:val="24"/>
        </w:rPr>
        <w:t>A</w:t>
      </w:r>
      <w:r w:rsidRPr="1AD2423B">
        <w:rPr>
          <w:sz w:val="24"/>
          <w:szCs w:val="24"/>
        </w:rPr>
        <w:t>llegato 1 del suddetto Avviso e</w:t>
      </w:r>
      <w:r w:rsidR="000F52A3" w:rsidRPr="1AD2423B">
        <w:rPr>
          <w:sz w:val="24"/>
          <w:szCs w:val="24"/>
        </w:rPr>
        <w:t>,</w:t>
      </w:r>
      <w:r w:rsidRPr="1AD2423B">
        <w:rPr>
          <w:sz w:val="24"/>
          <w:szCs w:val="24"/>
        </w:rPr>
        <w:t xml:space="preserve"> al contempo</w:t>
      </w:r>
      <w:r w:rsidR="000F52A3" w:rsidRPr="1AD2423B">
        <w:rPr>
          <w:sz w:val="24"/>
          <w:szCs w:val="24"/>
        </w:rPr>
        <w:t>,</w:t>
      </w:r>
      <w:r w:rsidRPr="1AD2423B">
        <w:rPr>
          <w:sz w:val="24"/>
          <w:szCs w:val="24"/>
        </w:rPr>
        <w:t xml:space="preserve"> l'Operatore medesimo</w:t>
      </w:r>
      <w:r w:rsidR="00C245E0" w:rsidRPr="1AD2423B">
        <w:rPr>
          <w:sz w:val="24"/>
          <w:szCs w:val="24"/>
        </w:rPr>
        <w:t xml:space="preserve"> </w:t>
      </w:r>
      <w:r w:rsidRPr="1AD2423B">
        <w:rPr>
          <w:sz w:val="24"/>
          <w:szCs w:val="24"/>
        </w:rPr>
        <w:t>è risultato in possesso dei requisiti di ordine generale previsti nello stesso Avviso;</w:t>
      </w:r>
    </w:p>
    <w:p w14:paraId="14E89ABB" w14:textId="0B8CA6D0" w:rsidR="00FA442F" w:rsidRPr="006F061D" w:rsidRDefault="3B612134" w:rsidP="00151ABF">
      <w:pPr>
        <w:numPr>
          <w:ilvl w:val="0"/>
          <w:numId w:val="12"/>
        </w:numPr>
        <w:spacing w:line="360" w:lineRule="auto"/>
        <w:jc w:val="both"/>
        <w:rPr>
          <w:sz w:val="24"/>
          <w:szCs w:val="24"/>
        </w:rPr>
      </w:pPr>
      <w:r w:rsidRPr="41C908E4">
        <w:rPr>
          <w:sz w:val="24"/>
          <w:szCs w:val="24"/>
        </w:rPr>
        <w:t xml:space="preserve">ai sensi dell'art. 4 di tale ultimo Avviso, ai fini dell'inserimento nell'Elenco dei Partner tecnologici qualificati ad operare in ambito </w:t>
      </w:r>
      <w:proofErr w:type="spellStart"/>
      <w:r w:rsidRPr="41C908E4">
        <w:rPr>
          <w:sz w:val="24"/>
          <w:szCs w:val="24"/>
        </w:rPr>
        <w:t>I.PaC</w:t>
      </w:r>
      <w:proofErr w:type="spellEnd"/>
      <w:r w:rsidRPr="41C908E4">
        <w:rPr>
          <w:sz w:val="24"/>
          <w:szCs w:val="24"/>
        </w:rPr>
        <w:t>, è necessario che gli Operatori accertati in possesso dei requisiti prescritti sottoscrivano apposito Atto d'impegno e disciplinare (rappresentato dal presente atto) nel quale siano definite le modalità d'intervento e le condizioni a cui gli Operatori detti sono tenuti a conformarsi in tutte le fasi di interazione con ICDP-DL e gli altri Soggetti del sistema in funzione dell</w:t>
      </w:r>
      <w:r w:rsidR="309B0872" w:rsidRPr="41C908E4">
        <w:rPr>
          <w:sz w:val="24"/>
          <w:szCs w:val="24"/>
        </w:rPr>
        <w:t>a cooperazione</w:t>
      </w:r>
      <w:r w:rsidRPr="41C908E4">
        <w:rPr>
          <w:sz w:val="24"/>
          <w:szCs w:val="24"/>
        </w:rPr>
        <w:t xml:space="preserve"> con </w:t>
      </w:r>
      <w:proofErr w:type="spellStart"/>
      <w:r w:rsidRPr="41C908E4">
        <w:rPr>
          <w:sz w:val="24"/>
          <w:szCs w:val="24"/>
        </w:rPr>
        <w:t>I.PaC</w:t>
      </w:r>
      <w:proofErr w:type="spellEnd"/>
      <w:r w:rsidR="0E51464E" w:rsidRPr="41C908E4">
        <w:rPr>
          <w:sz w:val="24"/>
          <w:szCs w:val="24"/>
        </w:rPr>
        <w:t>.</w:t>
      </w:r>
    </w:p>
    <w:p w14:paraId="32A34358" w14:textId="77777777" w:rsidR="00A455A8" w:rsidRDefault="00A455A8" w:rsidP="006F061D">
      <w:pPr>
        <w:spacing w:line="360" w:lineRule="auto"/>
        <w:jc w:val="both"/>
        <w:rPr>
          <w:sz w:val="24"/>
          <w:szCs w:val="24"/>
        </w:rPr>
      </w:pPr>
    </w:p>
    <w:p w14:paraId="61718DB3" w14:textId="1BF96C1D" w:rsidR="00FA442F" w:rsidRPr="006F061D" w:rsidRDefault="00FA442F" w:rsidP="006F061D">
      <w:pPr>
        <w:spacing w:line="360" w:lineRule="auto"/>
        <w:jc w:val="both"/>
        <w:rPr>
          <w:sz w:val="24"/>
          <w:szCs w:val="24"/>
        </w:rPr>
      </w:pPr>
      <w:r w:rsidRPr="1AD2423B">
        <w:rPr>
          <w:sz w:val="24"/>
          <w:szCs w:val="24"/>
        </w:rPr>
        <w:t xml:space="preserve">Tanto premesso, l’Operatore ____________________, in funzione dell’inserimento e del </w:t>
      </w:r>
      <w:r w:rsidR="004B2110" w:rsidRPr="1AD2423B">
        <w:rPr>
          <w:sz w:val="24"/>
          <w:szCs w:val="24"/>
        </w:rPr>
        <w:t xml:space="preserve">mantenimento dello </w:t>
      </w:r>
      <w:r w:rsidR="004B2110" w:rsidRPr="1AD2423B">
        <w:rPr>
          <w:i/>
          <w:iCs/>
          <w:sz w:val="24"/>
          <w:szCs w:val="24"/>
        </w:rPr>
        <w:t>status</w:t>
      </w:r>
      <w:r w:rsidR="004B2110" w:rsidRPr="1AD2423B">
        <w:rPr>
          <w:sz w:val="24"/>
          <w:szCs w:val="24"/>
        </w:rPr>
        <w:t xml:space="preserve"> di Partner Tecnologico Qualificato in ambito </w:t>
      </w:r>
      <w:proofErr w:type="spellStart"/>
      <w:r w:rsidR="004B2110" w:rsidRPr="1AD2423B">
        <w:rPr>
          <w:sz w:val="24"/>
          <w:szCs w:val="24"/>
        </w:rPr>
        <w:t>I.PaC</w:t>
      </w:r>
      <w:proofErr w:type="spellEnd"/>
      <w:r w:rsidR="004B2110" w:rsidRPr="1AD2423B">
        <w:rPr>
          <w:sz w:val="24"/>
          <w:szCs w:val="24"/>
        </w:rPr>
        <w:t xml:space="preserve">, prende </w:t>
      </w:r>
      <w:r w:rsidR="001E0909" w:rsidRPr="1AD2423B">
        <w:rPr>
          <w:sz w:val="24"/>
          <w:szCs w:val="24"/>
        </w:rPr>
        <w:t xml:space="preserve">atto di tutte </w:t>
      </w:r>
      <w:r w:rsidR="001E6225" w:rsidRPr="1AD2423B">
        <w:rPr>
          <w:sz w:val="24"/>
          <w:szCs w:val="24"/>
        </w:rPr>
        <w:t>le previsioni e condizioni appresso poste ed accetta senza riserve le medesime.</w:t>
      </w:r>
    </w:p>
    <w:p w14:paraId="56315F66" w14:textId="77777777" w:rsidR="001E6225" w:rsidRPr="006F061D" w:rsidRDefault="001E6225" w:rsidP="006F061D">
      <w:pPr>
        <w:spacing w:line="360" w:lineRule="auto"/>
        <w:ind w:left="720"/>
        <w:jc w:val="both"/>
        <w:rPr>
          <w:sz w:val="24"/>
          <w:szCs w:val="24"/>
        </w:rPr>
      </w:pPr>
    </w:p>
    <w:p w14:paraId="1C17389B" w14:textId="068F9C12" w:rsidR="002416C8" w:rsidRPr="006F061D" w:rsidRDefault="001E6225" w:rsidP="006F061D">
      <w:pPr>
        <w:pStyle w:val="Heading1"/>
        <w:spacing w:before="0" w:after="80"/>
        <w:rPr>
          <w:rFonts w:ascii="Times New Roman" w:eastAsia="SimSun" w:hAnsi="Times New Roman"/>
          <w:lang w:eastAsia="en-US"/>
        </w:rPr>
      </w:pPr>
      <w:r w:rsidRPr="006F061D">
        <w:rPr>
          <w:rFonts w:ascii="Times New Roman" w:eastAsia="SimSun" w:hAnsi="Times New Roman"/>
          <w:lang w:eastAsia="en-US"/>
        </w:rPr>
        <w:t>Art</w:t>
      </w:r>
      <w:r w:rsidR="000F0810">
        <w:rPr>
          <w:rFonts w:ascii="Times New Roman" w:eastAsia="SimSun" w:hAnsi="Times New Roman"/>
          <w:lang w:eastAsia="en-US"/>
        </w:rPr>
        <w:t>.</w:t>
      </w:r>
      <w:r w:rsidRPr="006F061D">
        <w:rPr>
          <w:rFonts w:ascii="Times New Roman" w:eastAsia="SimSun" w:hAnsi="Times New Roman"/>
          <w:lang w:eastAsia="en-US"/>
        </w:rPr>
        <w:t xml:space="preserve"> 1</w:t>
      </w:r>
    </w:p>
    <w:p w14:paraId="0B7B0F46" w14:textId="77777777" w:rsidR="0026013B" w:rsidRPr="0026013B" w:rsidRDefault="000B58B3" w:rsidP="0026013B">
      <w:pPr>
        <w:keepNext/>
        <w:spacing w:after="80"/>
        <w:jc w:val="center"/>
        <w:outlineLvl w:val="0"/>
        <w:rPr>
          <w:rFonts w:eastAsia="SimSun"/>
          <w:b/>
          <w:bCs/>
          <w:kern w:val="2"/>
          <w:sz w:val="24"/>
          <w:szCs w:val="32"/>
          <w:lang w:eastAsia="en-US"/>
        </w:rPr>
      </w:pPr>
      <w:r w:rsidRPr="0026013B">
        <w:rPr>
          <w:rFonts w:eastAsia="SimSun"/>
          <w:b/>
          <w:bCs/>
          <w:kern w:val="2"/>
          <w:sz w:val="24"/>
          <w:szCs w:val="32"/>
          <w:lang w:eastAsia="en-US"/>
        </w:rPr>
        <w:t>Definizioni</w:t>
      </w:r>
    </w:p>
    <w:p w14:paraId="5B33EA05" w14:textId="6B1B2583" w:rsidR="001E6225" w:rsidRPr="006F061D" w:rsidRDefault="001E6225">
      <w:pPr>
        <w:spacing w:line="360" w:lineRule="auto"/>
        <w:jc w:val="both"/>
        <w:rPr>
          <w:sz w:val="24"/>
          <w:szCs w:val="24"/>
        </w:rPr>
      </w:pPr>
      <w:r w:rsidRPr="006F061D">
        <w:rPr>
          <w:sz w:val="24"/>
          <w:szCs w:val="24"/>
        </w:rPr>
        <w:t>Nell’economia del presente Atto d’Impegno, valgono le seguenti definizioni:</w:t>
      </w:r>
    </w:p>
    <w:p w14:paraId="1C17389E" w14:textId="0C70B748" w:rsidR="002416C8" w:rsidRPr="0090687F" w:rsidRDefault="000B58B3" w:rsidP="00151ABF">
      <w:pPr>
        <w:pStyle w:val="ListParagraph"/>
        <w:numPr>
          <w:ilvl w:val="0"/>
          <w:numId w:val="8"/>
        </w:numPr>
        <w:spacing w:line="360" w:lineRule="auto"/>
        <w:jc w:val="both"/>
        <w:rPr>
          <w:sz w:val="24"/>
          <w:szCs w:val="24"/>
        </w:rPr>
      </w:pPr>
      <w:r w:rsidRPr="0090687F">
        <w:rPr>
          <w:sz w:val="24"/>
          <w:szCs w:val="24"/>
        </w:rPr>
        <w:t>Ecomic: Ecosistema digitale per la cultura;</w:t>
      </w:r>
    </w:p>
    <w:p w14:paraId="1C17389F" w14:textId="575FFE63" w:rsidR="002416C8" w:rsidRPr="0090687F" w:rsidRDefault="000B58B3" w:rsidP="00151ABF">
      <w:pPr>
        <w:pStyle w:val="ListParagraph"/>
        <w:numPr>
          <w:ilvl w:val="0"/>
          <w:numId w:val="8"/>
        </w:numPr>
        <w:spacing w:line="360" w:lineRule="auto"/>
        <w:jc w:val="both"/>
        <w:rPr>
          <w:sz w:val="24"/>
          <w:szCs w:val="24"/>
        </w:rPr>
      </w:pPr>
      <w:proofErr w:type="spellStart"/>
      <w:r w:rsidRPr="0090687F">
        <w:rPr>
          <w:sz w:val="24"/>
          <w:szCs w:val="24"/>
        </w:rPr>
        <w:t>I.PaC</w:t>
      </w:r>
      <w:proofErr w:type="spellEnd"/>
      <w:r w:rsidRPr="0090687F">
        <w:rPr>
          <w:sz w:val="24"/>
          <w:szCs w:val="24"/>
        </w:rPr>
        <w:t xml:space="preserve">: </w:t>
      </w:r>
      <w:r w:rsidR="00B4648F" w:rsidRPr="0090687F">
        <w:rPr>
          <w:sz w:val="24"/>
          <w:szCs w:val="24"/>
        </w:rPr>
        <w:t>I</w:t>
      </w:r>
      <w:r w:rsidRPr="0090687F">
        <w:rPr>
          <w:sz w:val="24"/>
          <w:szCs w:val="24"/>
        </w:rPr>
        <w:t>nfrastruttura e servizi digitali per il Patrimonio Culturale;</w:t>
      </w:r>
    </w:p>
    <w:p w14:paraId="5F325337" w14:textId="52768554" w:rsidR="00363485" w:rsidRPr="0090687F" w:rsidRDefault="00363485" w:rsidP="00151ABF">
      <w:pPr>
        <w:pStyle w:val="ListParagraph"/>
        <w:numPr>
          <w:ilvl w:val="0"/>
          <w:numId w:val="8"/>
        </w:numPr>
        <w:spacing w:line="360" w:lineRule="auto"/>
        <w:jc w:val="both"/>
        <w:rPr>
          <w:sz w:val="24"/>
          <w:szCs w:val="24"/>
        </w:rPr>
      </w:pPr>
      <w:r w:rsidRPr="67B5570E">
        <w:rPr>
          <w:sz w:val="24"/>
          <w:szCs w:val="24"/>
        </w:rPr>
        <w:t xml:space="preserve">Regolamento Operatori: il Regolamento </w:t>
      </w:r>
      <w:r w:rsidR="583BD42A" w:rsidRPr="67B5570E">
        <w:rPr>
          <w:sz w:val="24"/>
          <w:szCs w:val="24"/>
        </w:rPr>
        <w:t xml:space="preserve">approvato con determina </w:t>
      </w:r>
      <w:r w:rsidR="583BD42A" w:rsidRPr="67B5570E">
        <w:rPr>
          <w:color w:val="000000" w:themeColor="text1"/>
          <w:sz w:val="24"/>
          <w:szCs w:val="24"/>
        </w:rPr>
        <w:t>IC-DP|13/05/2026|DETERMINA 38</w:t>
      </w:r>
      <w:r w:rsidRPr="67B5570E">
        <w:rPr>
          <w:sz w:val="24"/>
          <w:szCs w:val="24"/>
        </w:rPr>
        <w:t>, con il quale ICDP-DL ha definito la disciplina generale del procedimento di qualificazione degli Operatori</w:t>
      </w:r>
      <w:r w:rsidR="00102D64" w:rsidRPr="67B5570E">
        <w:rPr>
          <w:sz w:val="24"/>
          <w:szCs w:val="24"/>
        </w:rPr>
        <w:t xml:space="preserve"> economici;</w:t>
      </w:r>
    </w:p>
    <w:p w14:paraId="3583C4DA" w14:textId="336BC27A" w:rsidR="00363485" w:rsidRPr="0090687F" w:rsidRDefault="00363485" w:rsidP="00151ABF">
      <w:pPr>
        <w:pStyle w:val="ListParagraph"/>
        <w:numPr>
          <w:ilvl w:val="0"/>
          <w:numId w:val="8"/>
        </w:numPr>
        <w:spacing w:line="360" w:lineRule="auto"/>
        <w:jc w:val="both"/>
        <w:rPr>
          <w:sz w:val="24"/>
          <w:szCs w:val="24"/>
        </w:rPr>
      </w:pPr>
      <w:r w:rsidRPr="3DB639AF">
        <w:rPr>
          <w:sz w:val="24"/>
          <w:szCs w:val="24"/>
        </w:rPr>
        <w:t>Avviso Operatori: l'Avviso</w:t>
      </w:r>
      <w:r w:rsidR="005C15CD" w:rsidRPr="3DB639AF">
        <w:rPr>
          <w:sz w:val="24"/>
          <w:szCs w:val="24"/>
        </w:rPr>
        <w:t xml:space="preserve"> </w:t>
      </w:r>
      <w:r w:rsidR="7B5E14E7" w:rsidRPr="3DB639AF">
        <w:rPr>
          <w:color w:val="000000" w:themeColor="text1"/>
          <w:sz w:val="24"/>
          <w:szCs w:val="24"/>
        </w:rPr>
        <w:t>IC-DP|18/05/2026|AVVISO 1</w:t>
      </w:r>
      <w:r w:rsidRPr="3DB639AF">
        <w:rPr>
          <w:sz w:val="24"/>
          <w:szCs w:val="24"/>
        </w:rPr>
        <w:t xml:space="preserve"> pubblicato sul sito istituzionale di ICDP-DL, con il quale gli Operatori economici interessati ad ottenere l'inserimento nell’Elenco di Partner tecnologici qualificati, in possesso di soluzioni tecnologiche adeguate,</w:t>
      </w:r>
      <w:r w:rsidR="00E32B54" w:rsidRPr="3DB639AF">
        <w:rPr>
          <w:sz w:val="24"/>
          <w:szCs w:val="24"/>
        </w:rPr>
        <w:t xml:space="preserve"> sono invitati</w:t>
      </w:r>
      <w:r w:rsidRPr="3DB639AF">
        <w:rPr>
          <w:sz w:val="24"/>
          <w:szCs w:val="24"/>
        </w:rPr>
        <w:t xml:space="preserve"> a presentare la propria candidatura;</w:t>
      </w:r>
    </w:p>
    <w:p w14:paraId="1C1738A2" w14:textId="77777777" w:rsidR="002416C8" w:rsidRPr="0090687F" w:rsidRDefault="000B58B3" w:rsidP="00151ABF">
      <w:pPr>
        <w:pStyle w:val="ListParagraph"/>
        <w:numPr>
          <w:ilvl w:val="0"/>
          <w:numId w:val="8"/>
        </w:numPr>
        <w:spacing w:line="360" w:lineRule="auto"/>
        <w:jc w:val="both"/>
        <w:rPr>
          <w:sz w:val="24"/>
          <w:szCs w:val="24"/>
        </w:rPr>
      </w:pPr>
      <w:r w:rsidRPr="0090687F">
        <w:rPr>
          <w:sz w:val="24"/>
          <w:szCs w:val="24"/>
        </w:rPr>
        <w:t xml:space="preserve">Capofila o Soggetto Gestore: ICDP-DL, con il ruolo di soggetto delegato ad agire per l’espletamento delle attività volte alla gestione di Ecosistema digitale per la cultura; </w:t>
      </w:r>
    </w:p>
    <w:p w14:paraId="1C1738A7" w14:textId="2D785038" w:rsidR="002416C8" w:rsidRPr="006F061D" w:rsidRDefault="00A333F0" w:rsidP="00151ABF">
      <w:pPr>
        <w:pStyle w:val="ListParagraph"/>
        <w:numPr>
          <w:ilvl w:val="0"/>
          <w:numId w:val="8"/>
        </w:numPr>
        <w:spacing w:after="160" w:line="360" w:lineRule="auto"/>
        <w:jc w:val="both"/>
        <w:rPr>
          <w:lang w:eastAsia="en-US"/>
        </w:rPr>
      </w:pPr>
      <w:bookmarkStart w:id="1" w:name="_heading=h.gjdgxs"/>
      <w:bookmarkEnd w:id="1"/>
      <w:r w:rsidRPr="0090687F">
        <w:rPr>
          <w:sz w:val="24"/>
          <w:szCs w:val="24"/>
        </w:rPr>
        <w:t xml:space="preserve">Partner Tecnologici Qualificati: Operatori privati inseriti nell'apposito Elenco, formato da ICDP-DL, degli </w:t>
      </w:r>
      <w:r w:rsidR="002A4491" w:rsidRPr="0090687F">
        <w:rPr>
          <w:sz w:val="24"/>
          <w:szCs w:val="24"/>
        </w:rPr>
        <w:t>O</w:t>
      </w:r>
      <w:r w:rsidRPr="0090687F">
        <w:rPr>
          <w:sz w:val="24"/>
          <w:szCs w:val="24"/>
        </w:rPr>
        <w:t xml:space="preserve">peratori qualificati da ICDP-DL per operare in ambito </w:t>
      </w:r>
      <w:proofErr w:type="spellStart"/>
      <w:r w:rsidRPr="0090687F">
        <w:rPr>
          <w:sz w:val="24"/>
          <w:szCs w:val="24"/>
        </w:rPr>
        <w:t>I.PaC</w:t>
      </w:r>
      <w:proofErr w:type="spellEnd"/>
      <w:r w:rsidRPr="0090687F">
        <w:rPr>
          <w:sz w:val="24"/>
          <w:szCs w:val="24"/>
        </w:rPr>
        <w:t xml:space="preserve"> per conto di Soggetti aderenti o di Soggetti interessati all'adesione.</w:t>
      </w:r>
    </w:p>
    <w:p w14:paraId="1C1738A8" w14:textId="1271035A" w:rsidR="002416C8" w:rsidRPr="006F061D" w:rsidRDefault="000B58B3">
      <w:pPr>
        <w:spacing w:after="120"/>
        <w:jc w:val="center"/>
        <w:rPr>
          <w:rFonts w:eastAsia="SimSun"/>
          <w:b/>
          <w:bCs/>
          <w:kern w:val="2"/>
          <w:sz w:val="24"/>
          <w:szCs w:val="24"/>
          <w:lang w:eastAsia="en-US"/>
        </w:rPr>
      </w:pPr>
      <w:r w:rsidRPr="006F061D">
        <w:rPr>
          <w:rFonts w:eastAsia="SimSun"/>
          <w:b/>
          <w:bCs/>
          <w:kern w:val="2"/>
          <w:sz w:val="24"/>
          <w:szCs w:val="24"/>
          <w:lang w:eastAsia="en-US"/>
        </w:rPr>
        <w:t xml:space="preserve">Art. </w:t>
      </w:r>
      <w:r w:rsidR="006A3ADF" w:rsidRPr="006F061D">
        <w:rPr>
          <w:rFonts w:eastAsia="SimSun"/>
          <w:b/>
          <w:bCs/>
          <w:kern w:val="2"/>
          <w:sz w:val="24"/>
          <w:szCs w:val="24"/>
          <w:lang w:eastAsia="en-US"/>
        </w:rPr>
        <w:t>2</w:t>
      </w:r>
    </w:p>
    <w:p w14:paraId="1C1738A9" w14:textId="75C6B577" w:rsidR="002416C8" w:rsidRPr="006F061D" w:rsidRDefault="000B58B3">
      <w:pPr>
        <w:keepNext/>
        <w:spacing w:after="80"/>
        <w:jc w:val="center"/>
        <w:outlineLvl w:val="0"/>
        <w:rPr>
          <w:rFonts w:eastAsia="SimSun"/>
          <w:b/>
          <w:bCs/>
          <w:kern w:val="2"/>
          <w:sz w:val="24"/>
          <w:szCs w:val="32"/>
          <w:lang w:eastAsia="en-US"/>
        </w:rPr>
      </w:pPr>
      <w:r w:rsidRPr="006F061D">
        <w:rPr>
          <w:rFonts w:eastAsia="SimSun"/>
          <w:b/>
          <w:bCs/>
          <w:kern w:val="2"/>
          <w:sz w:val="24"/>
          <w:szCs w:val="32"/>
          <w:lang w:eastAsia="en-US"/>
        </w:rPr>
        <w:t>Oggetto e finalità del</w:t>
      </w:r>
      <w:r w:rsidR="006A3ADF" w:rsidRPr="006F061D">
        <w:rPr>
          <w:rFonts w:eastAsia="SimSun"/>
          <w:b/>
          <w:bCs/>
          <w:kern w:val="2"/>
          <w:sz w:val="24"/>
          <w:szCs w:val="32"/>
          <w:lang w:eastAsia="en-US"/>
        </w:rPr>
        <w:t xml:space="preserve"> presente Atto d’Impegno</w:t>
      </w:r>
    </w:p>
    <w:p w14:paraId="35414CEE" w14:textId="447BC2D6" w:rsidR="006D03D3" w:rsidRPr="006D03D3" w:rsidDel="00C64EDF" w:rsidRDefault="00170B44" w:rsidP="00151ABF">
      <w:pPr>
        <w:numPr>
          <w:ilvl w:val="0"/>
          <w:numId w:val="7"/>
        </w:numPr>
        <w:spacing w:line="360" w:lineRule="auto"/>
        <w:jc w:val="both"/>
        <w:rPr>
          <w:sz w:val="24"/>
          <w:szCs w:val="24"/>
        </w:rPr>
      </w:pPr>
      <w:r w:rsidRPr="006F061D">
        <w:rPr>
          <w:sz w:val="24"/>
          <w:szCs w:val="24"/>
        </w:rPr>
        <w:t xml:space="preserve">L'Operatore </w:t>
      </w:r>
      <w:r w:rsidR="002A4491">
        <w:rPr>
          <w:sz w:val="24"/>
          <w:szCs w:val="24"/>
        </w:rPr>
        <w:t>economico</w:t>
      </w:r>
      <w:r w:rsidR="002A4491" w:rsidRPr="006F061D">
        <w:rPr>
          <w:sz w:val="24"/>
          <w:szCs w:val="24"/>
        </w:rPr>
        <w:t xml:space="preserve"> </w:t>
      </w:r>
      <w:r w:rsidRPr="006F061D">
        <w:rPr>
          <w:sz w:val="24"/>
          <w:szCs w:val="24"/>
        </w:rPr>
        <w:t>prende atto che g</w:t>
      </w:r>
      <w:r w:rsidRPr="006F061D">
        <w:rPr>
          <w:color w:val="000000"/>
          <w:sz w:val="24"/>
          <w:szCs w:val="24"/>
        </w:rPr>
        <w:t xml:space="preserve">li obiettivi di </w:t>
      </w:r>
      <w:proofErr w:type="spellStart"/>
      <w:r w:rsidRPr="006F061D">
        <w:rPr>
          <w:color w:val="000000"/>
          <w:sz w:val="24"/>
          <w:szCs w:val="24"/>
        </w:rPr>
        <w:t>I.PaC</w:t>
      </w:r>
      <w:proofErr w:type="spellEnd"/>
      <w:r w:rsidRPr="006F061D">
        <w:rPr>
          <w:color w:val="000000"/>
          <w:sz w:val="24"/>
          <w:szCs w:val="24"/>
        </w:rPr>
        <w:t xml:space="preserve">, in aderenza ai quali lo </w:t>
      </w:r>
      <w:r w:rsidR="00B103EB">
        <w:rPr>
          <w:color w:val="000000"/>
          <w:sz w:val="24"/>
          <w:szCs w:val="24"/>
        </w:rPr>
        <w:t>s</w:t>
      </w:r>
      <w:r w:rsidRPr="006F061D">
        <w:rPr>
          <w:color w:val="000000"/>
          <w:sz w:val="24"/>
          <w:szCs w:val="24"/>
        </w:rPr>
        <w:t>tesso Operatore si impegna ad operare,</w:t>
      </w:r>
      <w:r w:rsidRPr="006F061D">
        <w:rPr>
          <w:sz w:val="24"/>
          <w:szCs w:val="24"/>
        </w:rPr>
        <w:t xml:space="preserve"> sono </w:t>
      </w:r>
      <w:r w:rsidR="00425124">
        <w:rPr>
          <w:sz w:val="24"/>
          <w:szCs w:val="24"/>
        </w:rPr>
        <w:t>disponibili</w:t>
      </w:r>
      <w:r w:rsidRPr="006F061D">
        <w:rPr>
          <w:sz w:val="24"/>
          <w:szCs w:val="24"/>
        </w:rPr>
        <w:t xml:space="preserve"> al</w:t>
      </w:r>
      <w:r w:rsidR="00425124">
        <w:rPr>
          <w:sz w:val="24"/>
          <w:szCs w:val="24"/>
        </w:rPr>
        <w:t xml:space="preserve"> seguente </w:t>
      </w:r>
      <w:r w:rsidRPr="006F061D">
        <w:rPr>
          <w:sz w:val="24"/>
          <w:szCs w:val="24"/>
        </w:rPr>
        <w:t>link</w:t>
      </w:r>
      <w:r w:rsidR="0026013B">
        <w:rPr>
          <w:sz w:val="24"/>
          <w:szCs w:val="24"/>
        </w:rPr>
        <w:t xml:space="preserve"> </w:t>
      </w:r>
      <w:hyperlink r:id="rId10" w:history="1">
        <w:r w:rsidR="006D03D3" w:rsidRPr="006D03D3">
          <w:rPr>
            <w:rStyle w:val="Hyperlink"/>
            <w:sz w:val="24"/>
            <w:szCs w:val="24"/>
          </w:rPr>
          <w:t>https://ecomic.cultura.gov.it/ipac/infrastruttura/</w:t>
        </w:r>
      </w:hyperlink>
      <w:r w:rsidR="00F17DB5">
        <w:rPr>
          <w:sz w:val="24"/>
          <w:szCs w:val="24"/>
        </w:rPr>
        <w:t>.</w:t>
      </w:r>
    </w:p>
    <w:p w14:paraId="25311955" w14:textId="1B1E77D6" w:rsidR="00170B44" w:rsidRPr="006F061D" w:rsidRDefault="00170B44" w:rsidP="00151ABF">
      <w:pPr>
        <w:numPr>
          <w:ilvl w:val="0"/>
          <w:numId w:val="7"/>
        </w:numPr>
        <w:spacing w:line="360" w:lineRule="auto"/>
        <w:jc w:val="both"/>
        <w:rPr>
          <w:sz w:val="24"/>
          <w:szCs w:val="24"/>
        </w:rPr>
      </w:pPr>
      <w:r w:rsidRPr="1AD2423B">
        <w:rPr>
          <w:sz w:val="24"/>
          <w:szCs w:val="24"/>
        </w:rPr>
        <w:t>Ugualmente l'Operatore prende att</w:t>
      </w:r>
      <w:r w:rsidR="00F5353E" w:rsidRPr="1AD2423B">
        <w:rPr>
          <w:sz w:val="24"/>
          <w:szCs w:val="24"/>
        </w:rPr>
        <w:t>o</w:t>
      </w:r>
      <w:r w:rsidRPr="1AD2423B">
        <w:rPr>
          <w:sz w:val="24"/>
          <w:szCs w:val="24"/>
        </w:rPr>
        <w:t xml:space="preserve"> dei contenuti specifici dell’iniziativa, delle principali funzionalità offerte da </w:t>
      </w:r>
      <w:proofErr w:type="spellStart"/>
      <w:r w:rsidRPr="1AD2423B">
        <w:rPr>
          <w:sz w:val="24"/>
          <w:szCs w:val="24"/>
        </w:rPr>
        <w:t>I.PaC</w:t>
      </w:r>
      <w:proofErr w:type="spellEnd"/>
      <w:r w:rsidRPr="1AD2423B">
        <w:rPr>
          <w:sz w:val="24"/>
          <w:szCs w:val="24"/>
        </w:rPr>
        <w:t>, delle opzioni disponibili, del percorso di adesione e de</w:t>
      </w:r>
      <w:r w:rsidRPr="1AD2423B">
        <w:rPr>
          <w:rFonts w:eastAsia="SimSun"/>
          <w:sz w:val="24"/>
          <w:szCs w:val="24"/>
        </w:rPr>
        <w:t xml:space="preserve">l catalogo di servizi, nonché del ruolo dei principali </w:t>
      </w:r>
      <w:r w:rsidRPr="1AD2423B">
        <w:rPr>
          <w:sz w:val="24"/>
          <w:szCs w:val="24"/>
        </w:rPr>
        <w:t xml:space="preserve">soggetti ed attori dell’iniziativa medesima, secondo quando indicato sempre </w:t>
      </w:r>
      <w:r w:rsidR="00C64EDF" w:rsidRPr="1AD2423B">
        <w:rPr>
          <w:sz w:val="24"/>
          <w:szCs w:val="24"/>
        </w:rPr>
        <w:t>nel link</w:t>
      </w:r>
      <w:r w:rsidRPr="1AD2423B">
        <w:rPr>
          <w:sz w:val="24"/>
          <w:szCs w:val="24"/>
        </w:rPr>
        <w:t xml:space="preserve"> suindicato (a cui si rimanda, per brevità di esposizione). </w:t>
      </w:r>
    </w:p>
    <w:p w14:paraId="67A5A7AB" w14:textId="1008CE21" w:rsidR="00170B44" w:rsidRDefault="0EB33661" w:rsidP="00151ABF">
      <w:pPr>
        <w:numPr>
          <w:ilvl w:val="0"/>
          <w:numId w:val="7"/>
        </w:numPr>
        <w:spacing w:after="160" w:line="360" w:lineRule="auto"/>
        <w:ind w:left="357" w:hanging="357"/>
        <w:jc w:val="both"/>
        <w:rPr>
          <w:sz w:val="24"/>
          <w:szCs w:val="24"/>
        </w:rPr>
      </w:pPr>
      <w:r w:rsidRPr="3DB639AF">
        <w:rPr>
          <w:sz w:val="24"/>
          <w:szCs w:val="24"/>
        </w:rPr>
        <w:t xml:space="preserve">Oggetto del presente Atto d'impegno e disciplinare è quello di definire gli impegni dell'Operatore </w:t>
      </w:r>
      <w:r w:rsidR="00376993" w:rsidRPr="3DB639AF">
        <w:rPr>
          <w:sz w:val="24"/>
          <w:szCs w:val="24"/>
        </w:rPr>
        <w:t xml:space="preserve">economico </w:t>
      </w:r>
      <w:r w:rsidRPr="3DB639AF">
        <w:rPr>
          <w:sz w:val="24"/>
          <w:szCs w:val="24"/>
        </w:rPr>
        <w:t xml:space="preserve">nelle relazioni con ICDP-DL e gli altri Soggetti </w:t>
      </w:r>
      <w:r w:rsidR="004C7895" w:rsidRPr="3DB639AF">
        <w:rPr>
          <w:sz w:val="24"/>
          <w:szCs w:val="24"/>
        </w:rPr>
        <w:t>aderenti</w:t>
      </w:r>
      <w:r w:rsidRPr="3DB639AF">
        <w:rPr>
          <w:sz w:val="24"/>
          <w:szCs w:val="24"/>
        </w:rPr>
        <w:t xml:space="preserve"> in funzione dell</w:t>
      </w:r>
      <w:r w:rsidR="35E83246" w:rsidRPr="3DB639AF">
        <w:rPr>
          <w:sz w:val="24"/>
          <w:szCs w:val="24"/>
        </w:rPr>
        <w:t xml:space="preserve">a cooperazione </w:t>
      </w:r>
      <w:r w:rsidRPr="3DB639AF">
        <w:rPr>
          <w:sz w:val="24"/>
          <w:szCs w:val="24"/>
        </w:rPr>
        <w:t xml:space="preserve">con </w:t>
      </w:r>
      <w:proofErr w:type="spellStart"/>
      <w:r w:rsidRPr="3DB639AF">
        <w:rPr>
          <w:sz w:val="24"/>
          <w:szCs w:val="24"/>
        </w:rPr>
        <w:t>I.PaC</w:t>
      </w:r>
      <w:proofErr w:type="spellEnd"/>
      <w:r w:rsidRPr="3DB639AF">
        <w:rPr>
          <w:sz w:val="24"/>
          <w:szCs w:val="24"/>
        </w:rPr>
        <w:t xml:space="preserve"> dei sistemi informativi di questi ultimi, per le finalità e con le modalità indicate o richiamate nell'Avviso </w:t>
      </w:r>
      <w:r w:rsidR="185F81FF" w:rsidRPr="3DB639AF">
        <w:rPr>
          <w:color w:val="000000" w:themeColor="text1"/>
          <w:sz w:val="24"/>
          <w:szCs w:val="24"/>
        </w:rPr>
        <w:t>IC-DP|18/05/2026|AVVISO 1</w:t>
      </w:r>
      <w:r w:rsidRPr="3DB639AF">
        <w:rPr>
          <w:sz w:val="24"/>
          <w:szCs w:val="24"/>
        </w:rPr>
        <w:t xml:space="preserve"> (cd. Avviso Operatori).</w:t>
      </w:r>
    </w:p>
    <w:p w14:paraId="1C1738B0" w14:textId="451313AA" w:rsidR="002416C8" w:rsidRPr="006F061D" w:rsidRDefault="000B58B3" w:rsidP="0FA792A2">
      <w:pPr>
        <w:spacing w:after="120"/>
        <w:jc w:val="center"/>
        <w:rPr>
          <w:rFonts w:eastAsia="SimSun"/>
          <w:b/>
          <w:bCs/>
          <w:kern w:val="2"/>
          <w:sz w:val="24"/>
          <w:szCs w:val="24"/>
          <w:lang w:eastAsia="en-US"/>
        </w:rPr>
      </w:pPr>
      <w:r w:rsidRPr="006F061D">
        <w:rPr>
          <w:rFonts w:eastAsia="SimSun"/>
          <w:b/>
          <w:bCs/>
          <w:kern w:val="2"/>
          <w:sz w:val="24"/>
          <w:szCs w:val="24"/>
          <w:lang w:eastAsia="en-US"/>
        </w:rPr>
        <w:t xml:space="preserve">Art. </w:t>
      </w:r>
      <w:r w:rsidR="00170B44" w:rsidRPr="006F061D">
        <w:rPr>
          <w:rFonts w:eastAsia="SimSun"/>
          <w:b/>
          <w:bCs/>
          <w:kern w:val="2"/>
          <w:sz w:val="24"/>
          <w:szCs w:val="24"/>
          <w:lang w:eastAsia="en-US"/>
        </w:rPr>
        <w:t>3</w:t>
      </w:r>
    </w:p>
    <w:p w14:paraId="1C1738B1" w14:textId="0B2B47CA" w:rsidR="002416C8" w:rsidRPr="00987F6B" w:rsidRDefault="00170B44">
      <w:pPr>
        <w:spacing w:after="120"/>
        <w:jc w:val="center"/>
        <w:rPr>
          <w:rFonts w:eastAsia="SimSun"/>
          <w:b/>
          <w:bCs/>
          <w:kern w:val="2"/>
          <w:sz w:val="24"/>
          <w:szCs w:val="24"/>
          <w:lang w:eastAsia="en-US"/>
        </w:rPr>
      </w:pPr>
      <w:r w:rsidRPr="00987F6B">
        <w:rPr>
          <w:rFonts w:eastAsia="SimSun"/>
          <w:b/>
          <w:bCs/>
          <w:kern w:val="2"/>
          <w:sz w:val="24"/>
          <w:szCs w:val="24"/>
          <w:lang w:eastAsia="en-US"/>
        </w:rPr>
        <w:t>Soluzione tecnologica proposta (</w:t>
      </w:r>
      <w:r w:rsidRPr="00987F6B">
        <w:rPr>
          <w:rFonts w:eastAsia="SimSun"/>
          <w:b/>
          <w:bCs/>
          <w:i/>
          <w:iCs/>
          <w:kern w:val="2"/>
          <w:sz w:val="24"/>
          <w:szCs w:val="24"/>
          <w:lang w:eastAsia="en-US"/>
        </w:rPr>
        <w:t>oppure, se del caso</w:t>
      </w:r>
      <w:r w:rsidRPr="00987F6B">
        <w:rPr>
          <w:rFonts w:eastAsia="SimSun"/>
          <w:b/>
          <w:bCs/>
          <w:kern w:val="2"/>
          <w:sz w:val="24"/>
          <w:szCs w:val="24"/>
          <w:lang w:eastAsia="en-US"/>
        </w:rPr>
        <w:t xml:space="preserve"> ‘’Soluzioni tecnologiche proposte’’)</w:t>
      </w:r>
    </w:p>
    <w:p w14:paraId="25E12826" w14:textId="431D88A1" w:rsidR="002416C5" w:rsidRPr="006F061D" w:rsidRDefault="002416C5" w:rsidP="00151ABF">
      <w:pPr>
        <w:pStyle w:val="ListParagraph"/>
        <w:numPr>
          <w:ilvl w:val="0"/>
          <w:numId w:val="1"/>
        </w:numPr>
        <w:tabs>
          <w:tab w:val="left" w:pos="64"/>
          <w:tab w:val="center" w:pos="1418"/>
          <w:tab w:val="right" w:pos="9026"/>
        </w:tabs>
        <w:spacing w:line="360" w:lineRule="auto"/>
        <w:ind w:right="57"/>
        <w:jc w:val="both"/>
        <w:rPr>
          <w:rFonts w:eastAsia="SimSun"/>
          <w:kern w:val="2"/>
          <w:sz w:val="24"/>
          <w:szCs w:val="24"/>
          <w:lang w:eastAsia="zh-CN"/>
        </w:rPr>
      </w:pPr>
      <w:r w:rsidRPr="006F061D">
        <w:rPr>
          <w:rFonts w:eastAsia="SimSun"/>
          <w:kern w:val="2"/>
          <w:sz w:val="24"/>
          <w:szCs w:val="24"/>
          <w:lang w:eastAsia="zh-CN"/>
        </w:rPr>
        <w:t>Tenuto conto degli esiti dell'istruttoria condotta da ICDP-DL, l'Operatore scrivente prende atto che l'inserimento del medesimo nell'Elenco dei Partner tecnologici qualificati avviene con esclusivo riferimento alla soluzione tecnologica (o alle soluzioni</w:t>
      </w:r>
      <w:r w:rsidR="000F108D">
        <w:rPr>
          <w:rFonts w:eastAsia="SimSun"/>
          <w:kern w:val="2"/>
          <w:sz w:val="24"/>
          <w:szCs w:val="24"/>
          <w:lang w:eastAsia="zh-CN"/>
        </w:rPr>
        <w:t xml:space="preserve">) </w:t>
      </w:r>
      <w:r w:rsidRPr="006F061D">
        <w:rPr>
          <w:rFonts w:eastAsia="SimSun"/>
          <w:kern w:val="2"/>
          <w:sz w:val="24"/>
          <w:szCs w:val="24"/>
          <w:lang w:eastAsia="zh-CN"/>
        </w:rPr>
        <w:t xml:space="preserve">di seguito descritta/e: </w:t>
      </w:r>
    </w:p>
    <w:p w14:paraId="692982E3" w14:textId="135BB5C9" w:rsidR="002416C5" w:rsidRPr="006F061D" w:rsidRDefault="002416C5" w:rsidP="006F061D">
      <w:pPr>
        <w:tabs>
          <w:tab w:val="left" w:pos="64"/>
          <w:tab w:val="center" w:pos="1418"/>
          <w:tab w:val="right" w:pos="9026"/>
        </w:tabs>
        <w:spacing w:line="360" w:lineRule="auto"/>
        <w:ind w:left="419" w:right="57"/>
        <w:jc w:val="both"/>
        <w:rPr>
          <w:rFonts w:eastAsia="SimSun"/>
          <w:kern w:val="2"/>
          <w:sz w:val="24"/>
          <w:szCs w:val="24"/>
          <w:lang w:eastAsia="zh-CN"/>
        </w:rPr>
      </w:pPr>
      <w:r w:rsidRPr="006F061D">
        <w:rPr>
          <w:rFonts w:eastAsia="SimSun"/>
          <w:kern w:val="2"/>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8F209E" w14:textId="3C07C590" w:rsidR="002416C5" w:rsidRPr="006F061D" w:rsidRDefault="002416C5" w:rsidP="00151ABF">
      <w:pPr>
        <w:pStyle w:val="ListParagraph"/>
        <w:numPr>
          <w:ilvl w:val="0"/>
          <w:numId w:val="1"/>
        </w:numPr>
        <w:tabs>
          <w:tab w:val="left" w:pos="64"/>
          <w:tab w:val="center" w:pos="1418"/>
          <w:tab w:val="right" w:pos="9026"/>
        </w:tabs>
        <w:spacing w:line="360" w:lineRule="auto"/>
        <w:ind w:right="57"/>
        <w:jc w:val="both"/>
        <w:rPr>
          <w:rFonts w:eastAsia="SimSun"/>
          <w:kern w:val="2"/>
          <w:sz w:val="24"/>
          <w:szCs w:val="24"/>
          <w:lang w:eastAsia="zh-CN"/>
        </w:rPr>
      </w:pPr>
      <w:r w:rsidRPr="006F061D">
        <w:rPr>
          <w:rFonts w:eastAsia="SimSun"/>
          <w:kern w:val="2"/>
          <w:sz w:val="24"/>
          <w:szCs w:val="24"/>
          <w:lang w:eastAsia="zh-CN"/>
        </w:rPr>
        <w:t>Per eventuali interventi o attività che facciano riferimento a soluzioni tecnologiche diverse da quella/e suindicata/e nessuna valenza avrà quindi la presenza del nominativo dello scrivente Operatore nell'</w:t>
      </w:r>
      <w:r w:rsidR="008E3F2C">
        <w:rPr>
          <w:rFonts w:eastAsia="SimSun"/>
          <w:kern w:val="2"/>
          <w:sz w:val="24"/>
          <w:szCs w:val="24"/>
          <w:lang w:eastAsia="zh-CN"/>
        </w:rPr>
        <w:t>E</w:t>
      </w:r>
      <w:r w:rsidRPr="006F061D">
        <w:rPr>
          <w:rFonts w:eastAsia="SimSun"/>
          <w:kern w:val="2"/>
          <w:sz w:val="24"/>
          <w:szCs w:val="24"/>
          <w:lang w:eastAsia="zh-CN"/>
        </w:rPr>
        <w:t>lenco dei Partner qualificati.</w:t>
      </w:r>
    </w:p>
    <w:p w14:paraId="1BDA220F" w14:textId="6D64283A" w:rsidR="002416C5" w:rsidRDefault="0E8043FE" w:rsidP="00151ABF">
      <w:pPr>
        <w:numPr>
          <w:ilvl w:val="0"/>
          <w:numId w:val="1"/>
        </w:numPr>
        <w:tabs>
          <w:tab w:val="left" w:pos="64"/>
          <w:tab w:val="center" w:pos="1418"/>
          <w:tab w:val="right" w:pos="9026"/>
        </w:tabs>
        <w:spacing w:after="160" w:line="360" w:lineRule="auto"/>
        <w:ind w:left="419" w:right="57" w:hanging="357"/>
        <w:jc w:val="both"/>
        <w:rPr>
          <w:rFonts w:eastAsia="SimSun"/>
          <w:kern w:val="2"/>
          <w:sz w:val="24"/>
          <w:szCs w:val="24"/>
          <w:lang w:eastAsia="zh-CN"/>
        </w:rPr>
      </w:pPr>
      <w:r w:rsidRPr="006F061D">
        <w:rPr>
          <w:rFonts w:eastAsia="SimSun"/>
          <w:kern w:val="2"/>
          <w:sz w:val="24"/>
          <w:szCs w:val="24"/>
          <w:lang w:eastAsia="zh-CN"/>
        </w:rPr>
        <w:t>L'Operatore, nelle relazioni con i Soggetti che manifestino l'interesse a</w:t>
      </w:r>
      <w:r w:rsidR="02419D6B" w:rsidRPr="006F061D">
        <w:rPr>
          <w:rFonts w:eastAsia="SimSun"/>
          <w:kern w:val="2"/>
          <w:sz w:val="24"/>
          <w:szCs w:val="24"/>
          <w:lang w:eastAsia="zh-CN"/>
        </w:rPr>
        <w:t>lla cooperazione</w:t>
      </w:r>
      <w:r w:rsidRPr="006F061D">
        <w:rPr>
          <w:rFonts w:eastAsia="SimSun"/>
          <w:kern w:val="2"/>
          <w:sz w:val="24"/>
          <w:szCs w:val="24"/>
          <w:lang w:eastAsia="zh-CN"/>
        </w:rPr>
        <w:t xml:space="preserve"> con </w:t>
      </w:r>
      <w:proofErr w:type="spellStart"/>
      <w:r w:rsidRPr="006F061D">
        <w:rPr>
          <w:rFonts w:eastAsia="SimSun"/>
          <w:kern w:val="2"/>
          <w:sz w:val="24"/>
          <w:szCs w:val="24"/>
          <w:lang w:eastAsia="zh-CN"/>
        </w:rPr>
        <w:t>I.PaC</w:t>
      </w:r>
      <w:proofErr w:type="spellEnd"/>
      <w:r w:rsidRPr="006F061D">
        <w:rPr>
          <w:rFonts w:eastAsia="SimSun"/>
          <w:kern w:val="2"/>
          <w:sz w:val="24"/>
          <w:szCs w:val="24"/>
          <w:lang w:eastAsia="zh-CN"/>
        </w:rPr>
        <w:t xml:space="preserve"> </w:t>
      </w:r>
      <w:r w:rsidR="0456202D" w:rsidRPr="006F061D">
        <w:rPr>
          <w:rFonts w:eastAsia="SimSun"/>
          <w:kern w:val="2"/>
          <w:sz w:val="24"/>
          <w:szCs w:val="24"/>
          <w:lang w:eastAsia="zh-CN"/>
        </w:rPr>
        <w:t>de</w:t>
      </w:r>
      <w:r w:rsidRPr="006F061D">
        <w:rPr>
          <w:rFonts w:eastAsia="SimSun"/>
          <w:kern w:val="2"/>
          <w:sz w:val="24"/>
          <w:szCs w:val="24"/>
          <w:lang w:eastAsia="zh-CN"/>
        </w:rPr>
        <w:t>i propri sistemi, si impegna a rappresentare ciò con in via esplicita e con tutte le specifiche occorrenti.</w:t>
      </w:r>
    </w:p>
    <w:p w14:paraId="70C262B0" w14:textId="77777777" w:rsidR="00EC6FB1" w:rsidRDefault="00EC6FB1" w:rsidP="00EC6FB1">
      <w:pPr>
        <w:tabs>
          <w:tab w:val="left" w:pos="64"/>
          <w:tab w:val="center" w:pos="1418"/>
          <w:tab w:val="right" w:pos="9026"/>
        </w:tabs>
        <w:spacing w:after="160" w:line="360" w:lineRule="auto"/>
        <w:ind w:right="57"/>
        <w:jc w:val="both"/>
        <w:rPr>
          <w:rFonts w:eastAsia="SimSun"/>
          <w:kern w:val="2"/>
          <w:sz w:val="24"/>
          <w:szCs w:val="24"/>
          <w:lang w:eastAsia="zh-CN"/>
        </w:rPr>
      </w:pPr>
    </w:p>
    <w:p w14:paraId="1071B809" w14:textId="77777777" w:rsidR="00253D2F" w:rsidRDefault="00253D2F" w:rsidP="00EC6FB1">
      <w:pPr>
        <w:tabs>
          <w:tab w:val="left" w:pos="64"/>
          <w:tab w:val="center" w:pos="1418"/>
          <w:tab w:val="right" w:pos="9026"/>
        </w:tabs>
        <w:spacing w:after="160" w:line="360" w:lineRule="auto"/>
        <w:ind w:right="57"/>
        <w:jc w:val="both"/>
        <w:rPr>
          <w:rFonts w:eastAsia="SimSun"/>
          <w:kern w:val="2"/>
          <w:sz w:val="24"/>
          <w:szCs w:val="24"/>
          <w:lang w:eastAsia="zh-CN"/>
        </w:rPr>
      </w:pPr>
    </w:p>
    <w:p w14:paraId="1C1738BD" w14:textId="1AE3E400" w:rsidR="002416C8" w:rsidRPr="006F061D" w:rsidRDefault="000B58B3" w:rsidP="00E70C7D">
      <w:pPr>
        <w:tabs>
          <w:tab w:val="left" w:pos="64"/>
          <w:tab w:val="center" w:pos="1418"/>
          <w:tab w:val="right" w:pos="9026"/>
        </w:tabs>
        <w:spacing w:line="360" w:lineRule="auto"/>
        <w:ind w:left="420" w:right="57"/>
        <w:jc w:val="center"/>
        <w:rPr>
          <w:rFonts w:eastAsia="SimSun"/>
          <w:b/>
          <w:bCs/>
          <w:kern w:val="2"/>
          <w:sz w:val="24"/>
          <w:szCs w:val="24"/>
          <w:lang w:eastAsia="en-US"/>
        </w:rPr>
      </w:pPr>
      <w:r w:rsidRPr="006F061D">
        <w:rPr>
          <w:rFonts w:eastAsia="SimSun"/>
          <w:b/>
          <w:bCs/>
          <w:kern w:val="2"/>
          <w:sz w:val="24"/>
          <w:szCs w:val="24"/>
          <w:lang w:eastAsia="en-US"/>
        </w:rPr>
        <w:t xml:space="preserve">Art. </w:t>
      </w:r>
      <w:r w:rsidR="002416C5" w:rsidRPr="006F061D">
        <w:rPr>
          <w:rFonts w:eastAsia="SimSun"/>
          <w:b/>
          <w:bCs/>
          <w:kern w:val="2"/>
          <w:sz w:val="24"/>
          <w:szCs w:val="24"/>
          <w:lang w:eastAsia="en-US"/>
        </w:rPr>
        <w:t>4</w:t>
      </w:r>
    </w:p>
    <w:p w14:paraId="10EEA68C" w14:textId="77777777" w:rsidR="00614C50" w:rsidRPr="006F061D" w:rsidRDefault="00614C50" w:rsidP="00614C50">
      <w:pPr>
        <w:keepNext/>
        <w:spacing w:after="80"/>
        <w:jc w:val="center"/>
        <w:outlineLvl w:val="0"/>
        <w:rPr>
          <w:rFonts w:eastAsia="SimSun"/>
          <w:b/>
          <w:bCs/>
          <w:kern w:val="2"/>
          <w:sz w:val="24"/>
          <w:szCs w:val="32"/>
          <w:lang w:eastAsia="en-US"/>
        </w:rPr>
      </w:pPr>
      <w:r w:rsidRPr="006F061D">
        <w:rPr>
          <w:rFonts w:eastAsia="SimSun"/>
          <w:b/>
          <w:bCs/>
          <w:kern w:val="2"/>
          <w:sz w:val="24"/>
          <w:szCs w:val="32"/>
          <w:lang w:eastAsia="en-US"/>
        </w:rPr>
        <w:t>Ruolo di ICDP-DL e relazioni fra ICDP-DL e l’Operatore</w:t>
      </w:r>
    </w:p>
    <w:p w14:paraId="731A1EE7" w14:textId="5AC03CBB" w:rsidR="001F33AA" w:rsidRPr="006F061D" w:rsidRDefault="001F33AA" w:rsidP="00151ABF">
      <w:pPr>
        <w:numPr>
          <w:ilvl w:val="0"/>
          <w:numId w:val="6"/>
        </w:numPr>
        <w:spacing w:line="360" w:lineRule="auto"/>
        <w:ind w:left="357" w:hanging="357"/>
        <w:jc w:val="both"/>
        <w:rPr>
          <w:sz w:val="24"/>
          <w:szCs w:val="24"/>
        </w:rPr>
      </w:pPr>
      <w:r w:rsidRPr="006F061D">
        <w:rPr>
          <w:sz w:val="24"/>
          <w:szCs w:val="24"/>
        </w:rPr>
        <w:t xml:space="preserve">ICDP-DL è il Soggetto capofila e gestore di </w:t>
      </w:r>
      <w:proofErr w:type="spellStart"/>
      <w:r w:rsidRPr="006F061D">
        <w:rPr>
          <w:sz w:val="24"/>
          <w:szCs w:val="24"/>
        </w:rPr>
        <w:t>I.PaC</w:t>
      </w:r>
      <w:proofErr w:type="spellEnd"/>
      <w:r w:rsidRPr="006F061D">
        <w:rPr>
          <w:sz w:val="24"/>
          <w:szCs w:val="24"/>
        </w:rPr>
        <w:t>, delegato ad agire per l’espletamento delle attività volte alla gestione dell’Infrastruttura medesima e più in generale dell’intero Ecosistema digitale per la cultura.</w:t>
      </w:r>
    </w:p>
    <w:p w14:paraId="4C2074FC" w14:textId="5163D03C" w:rsidR="001F33AA" w:rsidRPr="006F061D" w:rsidRDefault="001F33AA" w:rsidP="00151ABF">
      <w:pPr>
        <w:numPr>
          <w:ilvl w:val="0"/>
          <w:numId w:val="6"/>
        </w:numPr>
        <w:spacing w:line="360" w:lineRule="auto"/>
        <w:ind w:left="357" w:hanging="357"/>
        <w:jc w:val="both"/>
        <w:rPr>
          <w:sz w:val="24"/>
          <w:szCs w:val="24"/>
        </w:rPr>
      </w:pPr>
      <w:r w:rsidRPr="006F061D">
        <w:rPr>
          <w:color w:val="000000"/>
          <w:sz w:val="24"/>
          <w:szCs w:val="24"/>
        </w:rPr>
        <w:t xml:space="preserve">Nello specifico, </w:t>
      </w:r>
      <w:r w:rsidR="00C45F08" w:rsidRPr="00C45F08">
        <w:rPr>
          <w:color w:val="000000"/>
          <w:sz w:val="24"/>
          <w:szCs w:val="24"/>
        </w:rPr>
        <w:t>ICDP-DL</w:t>
      </w:r>
      <w:r w:rsidRPr="006F061D">
        <w:rPr>
          <w:color w:val="000000"/>
          <w:sz w:val="24"/>
          <w:szCs w:val="24"/>
        </w:rPr>
        <w:t xml:space="preserve"> opera quale gestore dell’Elenco dei Partner tecnologici qualificati.</w:t>
      </w:r>
    </w:p>
    <w:p w14:paraId="1434C523" w14:textId="0E20D606" w:rsidR="001F33AA" w:rsidRPr="006F061D" w:rsidRDefault="3090BF2B" w:rsidP="00151ABF">
      <w:pPr>
        <w:numPr>
          <w:ilvl w:val="0"/>
          <w:numId w:val="6"/>
        </w:numPr>
        <w:spacing w:line="360" w:lineRule="auto"/>
        <w:ind w:left="357" w:hanging="357"/>
        <w:jc w:val="both"/>
        <w:rPr>
          <w:sz w:val="24"/>
          <w:szCs w:val="24"/>
        </w:rPr>
      </w:pPr>
      <w:r w:rsidRPr="1AD2423B">
        <w:rPr>
          <w:color w:val="000000" w:themeColor="text1"/>
          <w:sz w:val="24"/>
          <w:szCs w:val="24"/>
        </w:rPr>
        <w:t xml:space="preserve">Le relazioni che intercorreranno fra ICDP-DL e l’Operatore </w:t>
      </w:r>
      <w:r w:rsidR="008F2602" w:rsidRPr="1AD2423B">
        <w:rPr>
          <w:color w:val="000000" w:themeColor="text1"/>
          <w:sz w:val="24"/>
          <w:szCs w:val="24"/>
        </w:rPr>
        <w:t xml:space="preserve">economico </w:t>
      </w:r>
      <w:r w:rsidRPr="1AD2423B">
        <w:rPr>
          <w:color w:val="000000" w:themeColor="text1"/>
          <w:sz w:val="24"/>
          <w:szCs w:val="24"/>
        </w:rPr>
        <w:t xml:space="preserve">sono incentrate sulle modalità e gli standard tecnici nel rispetto di quali il Partner qualificato potrà operare in ambito </w:t>
      </w:r>
      <w:proofErr w:type="spellStart"/>
      <w:r w:rsidRPr="1AD2423B">
        <w:rPr>
          <w:color w:val="000000" w:themeColor="text1"/>
          <w:sz w:val="24"/>
          <w:szCs w:val="24"/>
        </w:rPr>
        <w:t>I.PaC</w:t>
      </w:r>
      <w:proofErr w:type="spellEnd"/>
      <w:r w:rsidRPr="1AD2423B">
        <w:rPr>
          <w:color w:val="000000" w:themeColor="text1"/>
          <w:sz w:val="24"/>
          <w:szCs w:val="24"/>
        </w:rPr>
        <w:t>, in funzione dell</w:t>
      </w:r>
      <w:r w:rsidR="3EAC6F26" w:rsidRPr="1AD2423B">
        <w:rPr>
          <w:color w:val="000000" w:themeColor="text1"/>
          <w:sz w:val="24"/>
          <w:szCs w:val="24"/>
        </w:rPr>
        <w:t xml:space="preserve">'interoperabilità </w:t>
      </w:r>
      <w:r w:rsidRPr="1AD2423B">
        <w:rPr>
          <w:color w:val="000000" w:themeColor="text1"/>
          <w:sz w:val="24"/>
          <w:szCs w:val="24"/>
        </w:rPr>
        <w:t>ad essa dei sistemi informativi dei Soggetti richiedenti.</w:t>
      </w:r>
    </w:p>
    <w:p w14:paraId="104B3CEF" w14:textId="3490DF11" w:rsidR="002D45FF" w:rsidRPr="00246442" w:rsidRDefault="002D45FF" w:rsidP="00151ABF">
      <w:pPr>
        <w:numPr>
          <w:ilvl w:val="0"/>
          <w:numId w:val="6"/>
        </w:numPr>
        <w:spacing w:line="360" w:lineRule="auto"/>
        <w:ind w:left="357" w:hanging="357"/>
        <w:jc w:val="both"/>
        <w:rPr>
          <w:sz w:val="24"/>
          <w:szCs w:val="24"/>
        </w:rPr>
      </w:pPr>
      <w:r>
        <w:rPr>
          <w:sz w:val="24"/>
          <w:szCs w:val="24"/>
        </w:rPr>
        <w:t>ICDP-DL svolgerà delle verifiche</w:t>
      </w:r>
      <w:r w:rsidR="00950951">
        <w:rPr>
          <w:sz w:val="24"/>
          <w:szCs w:val="24"/>
        </w:rPr>
        <w:t xml:space="preserve"> </w:t>
      </w:r>
      <w:r>
        <w:rPr>
          <w:sz w:val="24"/>
          <w:szCs w:val="24"/>
        </w:rPr>
        <w:t xml:space="preserve">sulle autodichiarazioni rese in fase di presentazione della richiesta di qualificazione, con particolare riferimento </w:t>
      </w:r>
      <w:r w:rsidR="00316214">
        <w:rPr>
          <w:sz w:val="24"/>
          <w:szCs w:val="24"/>
        </w:rPr>
        <w:t>ai requisiti generali e tecnici (come</w:t>
      </w:r>
      <w:r w:rsidR="006F64C6">
        <w:rPr>
          <w:sz w:val="24"/>
          <w:szCs w:val="24"/>
        </w:rPr>
        <w:t>,</w:t>
      </w:r>
      <w:r w:rsidR="00316214">
        <w:rPr>
          <w:sz w:val="24"/>
          <w:szCs w:val="24"/>
        </w:rPr>
        <w:t xml:space="preserve"> ad esempio</w:t>
      </w:r>
      <w:r w:rsidR="006F64C6">
        <w:rPr>
          <w:sz w:val="24"/>
          <w:szCs w:val="24"/>
        </w:rPr>
        <w:t>,</w:t>
      </w:r>
      <w:r w:rsidR="00316214">
        <w:rPr>
          <w:sz w:val="24"/>
          <w:szCs w:val="24"/>
        </w:rPr>
        <w:t xml:space="preserve"> la titolarità dei sistemi).</w:t>
      </w:r>
    </w:p>
    <w:p w14:paraId="477B7E2C" w14:textId="253B5F6A" w:rsidR="001F33AA" w:rsidRPr="006F061D" w:rsidRDefault="001F33AA" w:rsidP="00151ABF">
      <w:pPr>
        <w:numPr>
          <w:ilvl w:val="0"/>
          <w:numId w:val="6"/>
        </w:numPr>
        <w:spacing w:line="360" w:lineRule="auto"/>
        <w:ind w:left="357" w:hanging="357"/>
        <w:jc w:val="both"/>
        <w:rPr>
          <w:sz w:val="24"/>
          <w:szCs w:val="24"/>
        </w:rPr>
      </w:pPr>
      <w:r w:rsidRPr="006F061D">
        <w:rPr>
          <w:color w:val="000000"/>
          <w:sz w:val="24"/>
          <w:szCs w:val="24"/>
        </w:rPr>
        <w:t>Come appresso indicato, I</w:t>
      </w:r>
      <w:r w:rsidR="0035624D">
        <w:rPr>
          <w:color w:val="000000"/>
          <w:sz w:val="24"/>
          <w:szCs w:val="24"/>
        </w:rPr>
        <w:t>CDP-DL</w:t>
      </w:r>
      <w:r w:rsidRPr="006F061D">
        <w:rPr>
          <w:color w:val="000000"/>
          <w:sz w:val="24"/>
          <w:szCs w:val="24"/>
        </w:rPr>
        <w:t xml:space="preserve"> </w:t>
      </w:r>
      <w:proofErr w:type="gramStart"/>
      <w:r w:rsidRPr="006F061D">
        <w:rPr>
          <w:color w:val="000000"/>
          <w:sz w:val="24"/>
          <w:szCs w:val="24"/>
        </w:rPr>
        <w:t>porrà in essere</w:t>
      </w:r>
      <w:proofErr w:type="gramEnd"/>
      <w:r w:rsidRPr="006F061D">
        <w:rPr>
          <w:color w:val="000000"/>
          <w:sz w:val="24"/>
          <w:szCs w:val="24"/>
        </w:rPr>
        <w:t xml:space="preserve">, inoltre, le attività necessarie alla verifica delle condizioni necessarie (anche eventualmente aggiornate, in corso di periodo) per il mantenimento dello </w:t>
      </w:r>
      <w:r w:rsidRPr="008535D6">
        <w:rPr>
          <w:i/>
          <w:iCs/>
          <w:color w:val="000000"/>
          <w:sz w:val="24"/>
          <w:szCs w:val="24"/>
        </w:rPr>
        <w:t>status</w:t>
      </w:r>
      <w:r w:rsidRPr="006F061D">
        <w:rPr>
          <w:color w:val="000000"/>
          <w:sz w:val="24"/>
          <w:szCs w:val="24"/>
        </w:rPr>
        <w:t xml:space="preserve"> di Partner tecnologico qualificato.</w:t>
      </w:r>
    </w:p>
    <w:p w14:paraId="67A42923" w14:textId="7EF9CBBF" w:rsidR="001F33AA" w:rsidRPr="006F061D" w:rsidRDefault="3090BF2B" w:rsidP="00151ABF">
      <w:pPr>
        <w:numPr>
          <w:ilvl w:val="0"/>
          <w:numId w:val="6"/>
        </w:numPr>
        <w:spacing w:line="360" w:lineRule="auto"/>
        <w:ind w:left="357" w:hanging="357"/>
        <w:jc w:val="both"/>
        <w:rPr>
          <w:sz w:val="24"/>
          <w:szCs w:val="24"/>
        </w:rPr>
      </w:pPr>
      <w:r w:rsidRPr="1AD2423B">
        <w:rPr>
          <w:color w:val="000000" w:themeColor="text1"/>
          <w:sz w:val="24"/>
          <w:szCs w:val="24"/>
        </w:rPr>
        <w:t>Nessun rapporto di tipo economico viene instaurato fra ICDP-DL ed i Partner tecnologico, il quale potrà intervenire a beneficio dell</w:t>
      </w:r>
      <w:r w:rsidR="584DA300" w:rsidRPr="1AD2423B">
        <w:rPr>
          <w:color w:val="000000" w:themeColor="text1"/>
          <w:sz w:val="24"/>
          <w:szCs w:val="24"/>
        </w:rPr>
        <w:t xml:space="preserve">a cooperazione </w:t>
      </w:r>
      <w:r w:rsidRPr="1AD2423B">
        <w:rPr>
          <w:color w:val="000000" w:themeColor="text1"/>
          <w:sz w:val="24"/>
          <w:szCs w:val="24"/>
        </w:rPr>
        <w:t>di sistemi terzi solo ed esclusivamente su incarico (liberamente conferito) e per conto di uno dei Soggetti a ciò abilitati</w:t>
      </w:r>
      <w:r w:rsidR="00A22C02" w:rsidRPr="1AD2423B">
        <w:rPr>
          <w:color w:val="000000" w:themeColor="text1"/>
          <w:sz w:val="24"/>
          <w:szCs w:val="24"/>
        </w:rPr>
        <w:t>,</w:t>
      </w:r>
      <w:r w:rsidRPr="1AD2423B">
        <w:rPr>
          <w:color w:val="000000" w:themeColor="text1"/>
          <w:sz w:val="24"/>
          <w:szCs w:val="24"/>
        </w:rPr>
        <w:t xml:space="preserve"> rimanendo ICDP-DL ad ogni effetto estraneo al rapporto conseguente a tale incarico</w:t>
      </w:r>
      <w:r w:rsidR="228998D0" w:rsidRPr="1AD2423B">
        <w:rPr>
          <w:color w:val="000000" w:themeColor="text1"/>
          <w:sz w:val="24"/>
          <w:szCs w:val="24"/>
        </w:rPr>
        <w:t>.</w:t>
      </w:r>
    </w:p>
    <w:p w14:paraId="1FCB04AD" w14:textId="77777777" w:rsidR="001F33AA" w:rsidRPr="006F061D" w:rsidRDefault="001F33AA" w:rsidP="00151ABF">
      <w:pPr>
        <w:numPr>
          <w:ilvl w:val="0"/>
          <w:numId w:val="6"/>
        </w:numPr>
        <w:spacing w:line="360" w:lineRule="auto"/>
        <w:ind w:left="357" w:hanging="357"/>
        <w:jc w:val="both"/>
        <w:rPr>
          <w:sz w:val="24"/>
          <w:szCs w:val="24"/>
        </w:rPr>
      </w:pPr>
      <w:r w:rsidRPr="006F061D">
        <w:rPr>
          <w:color w:val="000000"/>
          <w:sz w:val="24"/>
          <w:szCs w:val="24"/>
        </w:rPr>
        <w:t>L’iscrizione nell’Elenco dei Partner tecnologici qualificati non potrà mai valere quale motivo di pretesa o aspettativa alcuna da parte dell’Operatore nei confronti di ICDP-DL.</w:t>
      </w:r>
    </w:p>
    <w:p w14:paraId="4A7F15F9" w14:textId="33F8A40B" w:rsidR="001F33AA" w:rsidRPr="006F061D" w:rsidRDefault="001F33AA" w:rsidP="00151ABF">
      <w:pPr>
        <w:numPr>
          <w:ilvl w:val="0"/>
          <w:numId w:val="6"/>
        </w:numPr>
        <w:spacing w:after="160" w:line="360" w:lineRule="auto"/>
        <w:ind w:left="357" w:hanging="357"/>
        <w:jc w:val="both"/>
        <w:rPr>
          <w:sz w:val="24"/>
          <w:szCs w:val="24"/>
        </w:rPr>
      </w:pPr>
      <w:r w:rsidRPr="1AD2423B">
        <w:rPr>
          <w:sz w:val="24"/>
          <w:szCs w:val="24"/>
        </w:rPr>
        <w:t>L</w:t>
      </w:r>
      <w:r w:rsidRPr="1AD2423B">
        <w:rPr>
          <w:color w:val="000000" w:themeColor="text1"/>
          <w:sz w:val="24"/>
          <w:szCs w:val="24"/>
        </w:rPr>
        <w:t xml:space="preserve">’affidamento di qualsiasi incarico da parte </w:t>
      </w:r>
      <w:r w:rsidR="00F43E45" w:rsidRPr="1AD2423B">
        <w:rPr>
          <w:color w:val="000000" w:themeColor="text1"/>
          <w:sz w:val="24"/>
          <w:szCs w:val="24"/>
        </w:rPr>
        <w:t>dei Soggetti</w:t>
      </w:r>
      <w:r w:rsidRPr="1AD2423B">
        <w:rPr>
          <w:color w:val="000000" w:themeColor="text1"/>
          <w:sz w:val="24"/>
          <w:szCs w:val="24"/>
        </w:rPr>
        <w:t xml:space="preserve"> aderenti (o interessati all’adesione) ad </w:t>
      </w:r>
      <w:proofErr w:type="spellStart"/>
      <w:r w:rsidRPr="1AD2423B">
        <w:rPr>
          <w:color w:val="000000" w:themeColor="text1"/>
          <w:sz w:val="24"/>
          <w:szCs w:val="24"/>
        </w:rPr>
        <w:t>I.PaC</w:t>
      </w:r>
      <w:proofErr w:type="spellEnd"/>
      <w:r w:rsidRPr="1AD2423B">
        <w:rPr>
          <w:color w:val="000000" w:themeColor="text1"/>
          <w:sz w:val="24"/>
          <w:szCs w:val="24"/>
        </w:rPr>
        <w:t xml:space="preserve"> avverrà secondo le regole ordinarie e ad esclusiva </w:t>
      </w:r>
      <w:r w:rsidR="004A30EB" w:rsidRPr="1AD2423B">
        <w:rPr>
          <w:color w:val="000000" w:themeColor="text1"/>
          <w:sz w:val="24"/>
          <w:szCs w:val="24"/>
        </w:rPr>
        <w:t xml:space="preserve">a </w:t>
      </w:r>
      <w:r w:rsidRPr="1AD2423B">
        <w:rPr>
          <w:color w:val="000000" w:themeColor="text1"/>
          <w:sz w:val="24"/>
          <w:szCs w:val="24"/>
        </w:rPr>
        <w:t xml:space="preserve">cura dei medesimi, senza che l’inserimento nell’Elenco detto possa valere quale motivo di deroga alle regole dette. </w:t>
      </w:r>
    </w:p>
    <w:p w14:paraId="1C1738C5" w14:textId="49CE884E" w:rsidR="002416C8" w:rsidRPr="006F061D" w:rsidRDefault="000B58B3">
      <w:pPr>
        <w:spacing w:after="120"/>
        <w:jc w:val="center"/>
        <w:rPr>
          <w:rFonts w:eastAsia="SimSun"/>
          <w:b/>
          <w:bCs/>
          <w:kern w:val="2"/>
          <w:sz w:val="24"/>
          <w:szCs w:val="24"/>
          <w:lang w:val="en-US" w:eastAsia="en-US"/>
        </w:rPr>
      </w:pPr>
      <w:r w:rsidRPr="006F061D">
        <w:rPr>
          <w:rFonts w:eastAsia="SimSun"/>
          <w:b/>
          <w:bCs/>
          <w:kern w:val="2"/>
          <w:sz w:val="24"/>
          <w:szCs w:val="24"/>
          <w:lang w:val="en-US" w:eastAsia="en-US"/>
        </w:rPr>
        <w:t xml:space="preserve">Art. </w:t>
      </w:r>
      <w:r w:rsidR="00F07C9F" w:rsidRPr="006F061D">
        <w:rPr>
          <w:rFonts w:eastAsia="SimSun"/>
          <w:b/>
          <w:bCs/>
          <w:kern w:val="2"/>
          <w:sz w:val="24"/>
          <w:szCs w:val="24"/>
          <w:lang w:val="en-US" w:eastAsia="en-US"/>
        </w:rPr>
        <w:t>5</w:t>
      </w:r>
    </w:p>
    <w:p w14:paraId="1C1738C6" w14:textId="135004C3" w:rsidR="002416C8" w:rsidRPr="006F061D" w:rsidRDefault="000B58B3">
      <w:pPr>
        <w:spacing w:after="120"/>
        <w:jc w:val="center"/>
      </w:pPr>
      <w:r w:rsidRPr="006F061D">
        <w:rPr>
          <w:rFonts w:eastAsia="SimSun"/>
          <w:b/>
          <w:bCs/>
          <w:kern w:val="2"/>
          <w:sz w:val="24"/>
          <w:szCs w:val="24"/>
          <w:lang w:eastAsia="en-US"/>
        </w:rPr>
        <w:t>Impegni dell</w:t>
      </w:r>
      <w:r w:rsidR="00F07C9F" w:rsidRPr="006F061D">
        <w:rPr>
          <w:rFonts w:eastAsia="SimSun"/>
          <w:b/>
          <w:bCs/>
          <w:kern w:val="2"/>
          <w:sz w:val="24"/>
          <w:szCs w:val="24"/>
          <w:lang w:eastAsia="en-US"/>
        </w:rPr>
        <w:t>’Operatore</w:t>
      </w:r>
    </w:p>
    <w:p w14:paraId="400C77B9" w14:textId="77777777" w:rsidR="00EB20E7" w:rsidRPr="006F061D" w:rsidRDefault="00EB20E7" w:rsidP="00151ABF">
      <w:pPr>
        <w:pStyle w:val="ListParagraph"/>
        <w:numPr>
          <w:ilvl w:val="0"/>
          <w:numId w:val="2"/>
        </w:numPr>
        <w:spacing w:line="360" w:lineRule="auto"/>
        <w:rPr>
          <w:sz w:val="24"/>
          <w:szCs w:val="24"/>
        </w:rPr>
      </w:pPr>
      <w:r w:rsidRPr="006F061D">
        <w:rPr>
          <w:sz w:val="24"/>
          <w:szCs w:val="24"/>
        </w:rPr>
        <w:t>Il Partner tecnologico si impegna, con la sottoscrizione del presente atto:</w:t>
      </w:r>
    </w:p>
    <w:p w14:paraId="334B739D" w14:textId="39E27040" w:rsidR="00EB20E7" w:rsidRPr="006F061D" w:rsidRDefault="00EB20E7" w:rsidP="00151ABF">
      <w:pPr>
        <w:pStyle w:val="ListParagraph"/>
        <w:numPr>
          <w:ilvl w:val="0"/>
          <w:numId w:val="9"/>
        </w:numPr>
        <w:spacing w:line="360" w:lineRule="auto"/>
        <w:jc w:val="both"/>
        <w:rPr>
          <w:sz w:val="24"/>
          <w:szCs w:val="24"/>
        </w:rPr>
      </w:pPr>
      <w:r w:rsidRPr="1AD2423B">
        <w:rPr>
          <w:sz w:val="24"/>
          <w:szCs w:val="24"/>
        </w:rPr>
        <w:t>ad operare nel rispetto delle previsioni e degli obiettivi posti negli atti di riferimento dell’Iniziativa</w:t>
      </w:r>
      <w:r w:rsidR="13F390DC" w:rsidRPr="1AD2423B">
        <w:rPr>
          <w:sz w:val="24"/>
          <w:szCs w:val="24"/>
        </w:rPr>
        <w:t>,</w:t>
      </w:r>
      <w:r w:rsidRPr="1AD2423B">
        <w:rPr>
          <w:sz w:val="24"/>
          <w:szCs w:val="24"/>
        </w:rPr>
        <w:t xml:space="preserve"> che l’Operatore dichiara di ben conoscere;</w:t>
      </w:r>
    </w:p>
    <w:p w14:paraId="5E5D403A" w14:textId="08F865DC" w:rsidR="00EB20E7" w:rsidRPr="006F061D" w:rsidRDefault="61DCC4FF" w:rsidP="00151ABF">
      <w:pPr>
        <w:pStyle w:val="ListParagraph"/>
        <w:numPr>
          <w:ilvl w:val="0"/>
          <w:numId w:val="9"/>
        </w:numPr>
        <w:spacing w:line="360" w:lineRule="auto"/>
        <w:jc w:val="both"/>
        <w:rPr>
          <w:sz w:val="24"/>
          <w:szCs w:val="24"/>
        </w:rPr>
      </w:pPr>
      <w:r w:rsidRPr="1AD2423B">
        <w:rPr>
          <w:sz w:val="24"/>
          <w:szCs w:val="24"/>
        </w:rPr>
        <w:t xml:space="preserve">ad operare altresì nel rispetto delle Linee Guida di </w:t>
      </w:r>
      <w:r w:rsidR="666606AC" w:rsidRPr="1AD2423B">
        <w:rPr>
          <w:sz w:val="24"/>
          <w:szCs w:val="24"/>
        </w:rPr>
        <w:t xml:space="preserve">cooperazione </w:t>
      </w:r>
      <w:r w:rsidRPr="1AD2423B">
        <w:rPr>
          <w:sz w:val="24"/>
          <w:szCs w:val="24"/>
        </w:rPr>
        <w:t xml:space="preserve">con </w:t>
      </w:r>
      <w:proofErr w:type="spellStart"/>
      <w:r w:rsidRPr="1AD2423B">
        <w:rPr>
          <w:sz w:val="24"/>
          <w:szCs w:val="24"/>
        </w:rPr>
        <w:t>I.PaC</w:t>
      </w:r>
      <w:proofErr w:type="spellEnd"/>
      <w:r w:rsidR="00B21D44" w:rsidRPr="1AD2423B">
        <w:rPr>
          <w:sz w:val="24"/>
          <w:szCs w:val="24"/>
        </w:rPr>
        <w:t>, che</w:t>
      </w:r>
      <w:r w:rsidRPr="1AD2423B">
        <w:rPr>
          <w:sz w:val="24"/>
          <w:szCs w:val="24"/>
        </w:rPr>
        <w:t xml:space="preserve"> l’Operatore dichiara di ben conoscere;</w:t>
      </w:r>
    </w:p>
    <w:p w14:paraId="50EAC087" w14:textId="77777777" w:rsidR="00EB20E7" w:rsidRPr="006F061D" w:rsidRDefault="00EB20E7" w:rsidP="00151ABF">
      <w:pPr>
        <w:pStyle w:val="ListParagraph"/>
        <w:numPr>
          <w:ilvl w:val="0"/>
          <w:numId w:val="9"/>
        </w:numPr>
        <w:spacing w:line="360" w:lineRule="auto"/>
        <w:jc w:val="both"/>
        <w:rPr>
          <w:sz w:val="24"/>
          <w:szCs w:val="24"/>
        </w:rPr>
      </w:pPr>
      <w:r w:rsidRPr="006F061D">
        <w:rPr>
          <w:sz w:val="24"/>
          <w:szCs w:val="24"/>
        </w:rPr>
        <w:t xml:space="preserve">ad operare nel rispetto delle regole tecniche tutte di settore, attenendosi agli </w:t>
      </w:r>
      <w:r w:rsidRPr="0056641D">
        <w:rPr>
          <w:i/>
          <w:iCs/>
          <w:sz w:val="24"/>
          <w:szCs w:val="24"/>
        </w:rPr>
        <w:t>standard</w:t>
      </w:r>
      <w:r w:rsidRPr="006F061D">
        <w:rPr>
          <w:sz w:val="24"/>
          <w:szCs w:val="24"/>
        </w:rPr>
        <w:t xml:space="preserve"> di qualità tutti necessari per il buon esito degli interventi eseguiti, anche secondo le specifiche e le direttive di ordine tecnico che ICDP-DL potrà approvare e diffondere a riguardo;</w:t>
      </w:r>
    </w:p>
    <w:p w14:paraId="62DDDED8" w14:textId="3A712F67" w:rsidR="00EB20E7" w:rsidRPr="006F061D" w:rsidRDefault="00EB20E7" w:rsidP="00151ABF">
      <w:pPr>
        <w:pStyle w:val="ListParagraph"/>
        <w:numPr>
          <w:ilvl w:val="0"/>
          <w:numId w:val="9"/>
        </w:numPr>
        <w:spacing w:line="360" w:lineRule="auto"/>
        <w:jc w:val="both"/>
        <w:rPr>
          <w:sz w:val="24"/>
          <w:szCs w:val="24"/>
        </w:rPr>
      </w:pPr>
      <w:r w:rsidRPr="006F061D">
        <w:rPr>
          <w:sz w:val="24"/>
          <w:szCs w:val="24"/>
        </w:rPr>
        <w:t>a mantenere i propri sistemi produttivi in condizioni tali da garantire il livello di efficienz</w:t>
      </w:r>
      <w:r w:rsidR="001111A1">
        <w:rPr>
          <w:sz w:val="24"/>
          <w:szCs w:val="24"/>
        </w:rPr>
        <w:t>a</w:t>
      </w:r>
      <w:r w:rsidRPr="006F061D">
        <w:rPr>
          <w:sz w:val="24"/>
          <w:szCs w:val="24"/>
        </w:rPr>
        <w:t xml:space="preserve"> ed efficacia richiesto per opera</w:t>
      </w:r>
      <w:r w:rsidR="006F061D">
        <w:rPr>
          <w:sz w:val="24"/>
          <w:szCs w:val="24"/>
        </w:rPr>
        <w:t>re</w:t>
      </w:r>
      <w:r w:rsidRPr="006F061D">
        <w:rPr>
          <w:sz w:val="24"/>
          <w:szCs w:val="24"/>
        </w:rPr>
        <w:t xml:space="preserve"> in ambito </w:t>
      </w:r>
      <w:proofErr w:type="spellStart"/>
      <w:r w:rsidRPr="006F061D">
        <w:rPr>
          <w:sz w:val="24"/>
          <w:szCs w:val="24"/>
        </w:rPr>
        <w:t>I.PaC</w:t>
      </w:r>
      <w:proofErr w:type="spellEnd"/>
      <w:r w:rsidRPr="006F061D">
        <w:rPr>
          <w:sz w:val="24"/>
          <w:szCs w:val="24"/>
        </w:rPr>
        <w:t>;</w:t>
      </w:r>
    </w:p>
    <w:p w14:paraId="6992FBB7" w14:textId="30C9C648" w:rsidR="00EB20E7" w:rsidRPr="006F061D" w:rsidRDefault="00EB20E7" w:rsidP="00151ABF">
      <w:pPr>
        <w:pStyle w:val="ListParagraph"/>
        <w:numPr>
          <w:ilvl w:val="0"/>
          <w:numId w:val="9"/>
        </w:numPr>
        <w:spacing w:line="360" w:lineRule="auto"/>
        <w:jc w:val="both"/>
        <w:rPr>
          <w:sz w:val="24"/>
          <w:szCs w:val="24"/>
        </w:rPr>
      </w:pPr>
      <w:r w:rsidRPr="006F061D">
        <w:rPr>
          <w:sz w:val="24"/>
          <w:szCs w:val="24"/>
        </w:rPr>
        <w:t xml:space="preserve">a rispettare, in particolare, i requisiti di monitoraggio di carattere tecnologico individuati all’interno dell’Allegato 1 </w:t>
      </w:r>
      <w:r w:rsidR="0008226B">
        <w:rPr>
          <w:sz w:val="24"/>
          <w:szCs w:val="24"/>
        </w:rPr>
        <w:t>all’Avviso</w:t>
      </w:r>
      <w:r w:rsidRPr="006F061D">
        <w:rPr>
          <w:sz w:val="24"/>
          <w:szCs w:val="24"/>
        </w:rPr>
        <w:t>, restando inteso che detti requisiti potranno essere aggiornati o modificati da ICDP-DL mediante la pubblicazione e/o comunicazione di successivi atti;</w:t>
      </w:r>
    </w:p>
    <w:p w14:paraId="296A780D" w14:textId="7220E75C" w:rsidR="00EB20E7" w:rsidRPr="006F061D" w:rsidRDefault="00EB20E7" w:rsidP="00151ABF">
      <w:pPr>
        <w:pStyle w:val="ListParagraph"/>
        <w:numPr>
          <w:ilvl w:val="0"/>
          <w:numId w:val="9"/>
        </w:numPr>
        <w:spacing w:line="360" w:lineRule="auto"/>
        <w:jc w:val="both"/>
        <w:rPr>
          <w:sz w:val="24"/>
          <w:szCs w:val="24"/>
        </w:rPr>
      </w:pPr>
      <w:r w:rsidRPr="02B41F8C">
        <w:rPr>
          <w:sz w:val="24"/>
          <w:szCs w:val="24"/>
        </w:rPr>
        <w:t>a fornire la necessaria collaborazione alle attività di verifica che ICDP-DL effettuerà, in corso di rapporto, in ordine al mantenimento dei requisiti</w:t>
      </w:r>
      <w:r w:rsidR="1AF6416A" w:rsidRPr="02B41F8C">
        <w:rPr>
          <w:sz w:val="24"/>
          <w:szCs w:val="24"/>
        </w:rPr>
        <w:t xml:space="preserve"> generali e tecnici</w:t>
      </w:r>
      <w:r w:rsidRPr="02B41F8C">
        <w:rPr>
          <w:sz w:val="24"/>
          <w:szCs w:val="24"/>
        </w:rPr>
        <w:t xml:space="preserve"> e degli </w:t>
      </w:r>
      <w:r w:rsidRPr="02B41F8C">
        <w:rPr>
          <w:i/>
          <w:iCs/>
          <w:sz w:val="24"/>
          <w:szCs w:val="24"/>
        </w:rPr>
        <w:t xml:space="preserve">standard </w:t>
      </w:r>
      <w:r w:rsidRPr="02B41F8C">
        <w:rPr>
          <w:sz w:val="24"/>
          <w:szCs w:val="24"/>
        </w:rPr>
        <w:t>suindicati, secondo le previsioni prev</w:t>
      </w:r>
      <w:r w:rsidR="00410DEE" w:rsidRPr="02B41F8C">
        <w:rPr>
          <w:sz w:val="24"/>
          <w:szCs w:val="24"/>
        </w:rPr>
        <w:t>i</w:t>
      </w:r>
      <w:r w:rsidRPr="02B41F8C">
        <w:rPr>
          <w:sz w:val="24"/>
          <w:szCs w:val="24"/>
        </w:rPr>
        <w:t>st</w:t>
      </w:r>
      <w:r w:rsidR="00410DEE" w:rsidRPr="02B41F8C">
        <w:rPr>
          <w:sz w:val="24"/>
          <w:szCs w:val="24"/>
        </w:rPr>
        <w:t>e</w:t>
      </w:r>
      <w:r w:rsidRPr="02B41F8C">
        <w:rPr>
          <w:sz w:val="24"/>
          <w:szCs w:val="24"/>
        </w:rPr>
        <w:t xml:space="preserve"> nell’Avviso Operatori;</w:t>
      </w:r>
    </w:p>
    <w:p w14:paraId="6725FD6B" w14:textId="170CC210" w:rsidR="00506699" w:rsidRPr="006F061D" w:rsidRDefault="00EB20E7" w:rsidP="00151ABF">
      <w:pPr>
        <w:pStyle w:val="ListParagraph"/>
        <w:numPr>
          <w:ilvl w:val="0"/>
          <w:numId w:val="9"/>
        </w:numPr>
        <w:spacing w:after="160" w:line="360" w:lineRule="auto"/>
        <w:ind w:left="1077" w:hanging="357"/>
        <w:contextualSpacing w:val="0"/>
        <w:jc w:val="both"/>
        <w:rPr>
          <w:sz w:val="24"/>
          <w:szCs w:val="24"/>
        </w:rPr>
      </w:pPr>
      <w:r w:rsidRPr="006F061D">
        <w:rPr>
          <w:sz w:val="24"/>
          <w:szCs w:val="24"/>
        </w:rPr>
        <w:t xml:space="preserve">a comunicare tempestivamente ad </w:t>
      </w:r>
      <w:r w:rsidR="00143741">
        <w:rPr>
          <w:sz w:val="24"/>
          <w:szCs w:val="24"/>
        </w:rPr>
        <w:t>ICDP-DL</w:t>
      </w:r>
      <w:r w:rsidRPr="006F061D">
        <w:rPr>
          <w:sz w:val="24"/>
          <w:szCs w:val="24"/>
        </w:rPr>
        <w:t xml:space="preserve"> l’intervento di qualsiasi circostanza - attinente alla propria organizzazione od altro - che possa interferire con il regolare svolgimento delle operazioni di cui trattasi o con la permanenza dell’Operatore nell’Elenco dei </w:t>
      </w:r>
      <w:r w:rsidR="00DC28DD">
        <w:rPr>
          <w:sz w:val="24"/>
          <w:szCs w:val="24"/>
        </w:rPr>
        <w:t>P</w:t>
      </w:r>
      <w:r w:rsidRPr="006F061D">
        <w:rPr>
          <w:sz w:val="24"/>
          <w:szCs w:val="24"/>
        </w:rPr>
        <w:t>artner qualificati.</w:t>
      </w:r>
    </w:p>
    <w:p w14:paraId="1C1738DB" w14:textId="51D18EAF" w:rsidR="002416C8" w:rsidRPr="006F061D" w:rsidRDefault="000B58B3">
      <w:pPr>
        <w:spacing w:after="120"/>
        <w:jc w:val="center"/>
        <w:rPr>
          <w:rFonts w:eastAsia="SimSun"/>
          <w:b/>
          <w:bCs/>
          <w:kern w:val="2"/>
          <w:sz w:val="24"/>
          <w:szCs w:val="24"/>
          <w:lang w:eastAsia="en-US"/>
        </w:rPr>
      </w:pPr>
      <w:r w:rsidRPr="006F061D">
        <w:rPr>
          <w:rFonts w:eastAsia="SimSun"/>
          <w:b/>
          <w:bCs/>
          <w:kern w:val="2"/>
          <w:sz w:val="24"/>
          <w:szCs w:val="24"/>
          <w:lang w:eastAsia="en-US"/>
        </w:rPr>
        <w:t xml:space="preserve">Art. </w:t>
      </w:r>
      <w:r w:rsidR="00EB20E7" w:rsidRPr="006F061D">
        <w:rPr>
          <w:rFonts w:eastAsia="SimSun"/>
          <w:b/>
          <w:bCs/>
          <w:kern w:val="2"/>
          <w:sz w:val="24"/>
          <w:szCs w:val="24"/>
          <w:lang w:eastAsia="en-US"/>
        </w:rPr>
        <w:t>6</w:t>
      </w:r>
    </w:p>
    <w:p w14:paraId="1C1738DC" w14:textId="6F5BBC71" w:rsidR="002416C8" w:rsidRPr="006F061D" w:rsidRDefault="00EB20E7">
      <w:pPr>
        <w:pStyle w:val="Heading1"/>
        <w:spacing w:before="0" w:after="80"/>
        <w:rPr>
          <w:rFonts w:ascii="Times New Roman" w:eastAsia="SimSun" w:hAnsi="Times New Roman"/>
          <w:lang w:eastAsia="en-US"/>
        </w:rPr>
      </w:pPr>
      <w:r w:rsidRPr="006F061D">
        <w:rPr>
          <w:rFonts w:ascii="Times New Roman" w:eastAsia="SimSun" w:hAnsi="Times New Roman"/>
          <w:lang w:eastAsia="en-US"/>
        </w:rPr>
        <w:t>Recesso e revoca</w:t>
      </w:r>
    </w:p>
    <w:p w14:paraId="087912DD" w14:textId="77777777" w:rsidR="00DB539A" w:rsidRPr="006F061D" w:rsidRDefault="00DB539A" w:rsidP="00151ABF">
      <w:pPr>
        <w:numPr>
          <w:ilvl w:val="0"/>
          <w:numId w:val="5"/>
        </w:numPr>
        <w:tabs>
          <w:tab w:val="left" w:pos="64"/>
          <w:tab w:val="left" w:pos="407"/>
          <w:tab w:val="center" w:pos="4513"/>
          <w:tab w:val="right" w:pos="9026"/>
        </w:tabs>
        <w:spacing w:line="360" w:lineRule="auto"/>
        <w:jc w:val="both"/>
        <w:rPr>
          <w:sz w:val="24"/>
          <w:szCs w:val="24"/>
        </w:rPr>
      </w:pPr>
      <w:r w:rsidRPr="006F061D">
        <w:rPr>
          <w:sz w:val="24"/>
          <w:szCs w:val="24"/>
        </w:rPr>
        <w:t xml:space="preserve">Lo </w:t>
      </w:r>
      <w:r w:rsidRPr="00DC28DD">
        <w:rPr>
          <w:i/>
          <w:iCs/>
          <w:sz w:val="24"/>
          <w:szCs w:val="24"/>
        </w:rPr>
        <w:t>status</w:t>
      </w:r>
      <w:r w:rsidRPr="006F061D">
        <w:rPr>
          <w:sz w:val="24"/>
          <w:szCs w:val="24"/>
        </w:rPr>
        <w:t xml:space="preserve"> di Partner tecnologico qualificato, derivante dall’inserimento nel relativo Elenco tenuto da ICDP-DL, persisterà sino a disposizione di revoca, motivata, da parte di quest’ultimo, oppure sino a richiesta di cancellazione o recesso da parte dell’Operatore qualificato, secondo quanto previsto, in particolare, all’Art. 6 del Regolamento Operatori.</w:t>
      </w:r>
    </w:p>
    <w:p w14:paraId="01D2EE48" w14:textId="4166CDB1" w:rsidR="00893A36" w:rsidRPr="006F061D" w:rsidRDefault="00DB539A" w:rsidP="00151ABF">
      <w:pPr>
        <w:numPr>
          <w:ilvl w:val="0"/>
          <w:numId w:val="5"/>
        </w:numPr>
        <w:tabs>
          <w:tab w:val="left" w:pos="64"/>
          <w:tab w:val="left" w:pos="407"/>
          <w:tab w:val="center" w:pos="4513"/>
          <w:tab w:val="right" w:pos="9026"/>
        </w:tabs>
        <w:spacing w:after="160" w:line="360" w:lineRule="auto"/>
        <w:jc w:val="both"/>
        <w:rPr>
          <w:sz w:val="24"/>
          <w:szCs w:val="24"/>
        </w:rPr>
      </w:pPr>
      <w:r w:rsidRPr="006F061D">
        <w:rPr>
          <w:sz w:val="24"/>
          <w:szCs w:val="24"/>
        </w:rPr>
        <w:t>Il Soggetto Gestore, in ogni caso, con provvedimento di carattere generale, potrà altresì disporre in ogni momento la cessazione di ogni effetto dell’Elenco dei Partner tecnologici qualificati, senza che possa essere preteso da alcuna Parte alcun rimborso, risarcimento o indennizzo di qualsiasi genere.</w:t>
      </w:r>
    </w:p>
    <w:p w14:paraId="1C1738E2" w14:textId="6DB7A0E8" w:rsidR="002416C8" w:rsidRPr="006F061D" w:rsidRDefault="000B58B3">
      <w:pPr>
        <w:spacing w:after="120"/>
        <w:jc w:val="center"/>
        <w:rPr>
          <w:rFonts w:eastAsia="SimSun"/>
          <w:b/>
          <w:bCs/>
          <w:kern w:val="2"/>
          <w:sz w:val="24"/>
          <w:szCs w:val="24"/>
          <w:lang w:eastAsia="en-US"/>
        </w:rPr>
      </w:pPr>
      <w:r w:rsidRPr="006F061D">
        <w:rPr>
          <w:rFonts w:eastAsia="SimSun"/>
          <w:b/>
          <w:bCs/>
          <w:kern w:val="2"/>
          <w:sz w:val="24"/>
          <w:szCs w:val="24"/>
          <w:lang w:eastAsia="en-US"/>
        </w:rPr>
        <w:t xml:space="preserve">Art. </w:t>
      </w:r>
      <w:r w:rsidR="00DB539A" w:rsidRPr="006F061D">
        <w:rPr>
          <w:rFonts w:eastAsia="SimSun"/>
          <w:b/>
          <w:bCs/>
          <w:kern w:val="2"/>
          <w:sz w:val="24"/>
          <w:szCs w:val="24"/>
          <w:lang w:eastAsia="en-US"/>
        </w:rPr>
        <w:t>7</w:t>
      </w:r>
    </w:p>
    <w:p w14:paraId="0536D713" w14:textId="1FEDC6B6" w:rsidR="00105FF0" w:rsidRPr="00387136" w:rsidRDefault="00105FF0" w:rsidP="00387136">
      <w:pPr>
        <w:spacing w:after="120"/>
        <w:jc w:val="center"/>
        <w:rPr>
          <w:rFonts w:eastAsia="SimSun"/>
          <w:b/>
          <w:bCs/>
          <w:kern w:val="2"/>
          <w:sz w:val="24"/>
          <w:szCs w:val="32"/>
          <w:lang w:eastAsia="en-US"/>
        </w:rPr>
      </w:pPr>
      <w:bookmarkStart w:id="2" w:name="Bookmark1111"/>
      <w:bookmarkStart w:id="3" w:name="Bookmark121"/>
      <w:r w:rsidRPr="00387136">
        <w:rPr>
          <w:rFonts w:eastAsia="SimSun"/>
          <w:b/>
          <w:bCs/>
          <w:kern w:val="2"/>
          <w:sz w:val="24"/>
          <w:szCs w:val="32"/>
          <w:lang w:eastAsia="en-US"/>
        </w:rPr>
        <w:t>Diritti di proprietà intellettuale e trattamento dei dati personali</w:t>
      </w:r>
      <w:bookmarkEnd w:id="2"/>
      <w:bookmarkEnd w:id="3"/>
    </w:p>
    <w:p w14:paraId="4A781A28" w14:textId="1971D5B6" w:rsidR="00CB7943" w:rsidRPr="006F061D" w:rsidRDefault="5D4BA348" w:rsidP="00151ABF">
      <w:pPr>
        <w:numPr>
          <w:ilvl w:val="0"/>
          <w:numId w:val="10"/>
        </w:numPr>
        <w:tabs>
          <w:tab w:val="left" w:pos="409"/>
        </w:tabs>
        <w:spacing w:line="360" w:lineRule="auto"/>
        <w:ind w:left="357" w:hanging="357"/>
        <w:jc w:val="both"/>
        <w:rPr>
          <w:sz w:val="24"/>
          <w:szCs w:val="24"/>
        </w:rPr>
      </w:pPr>
      <w:r w:rsidRPr="1AD2423B">
        <w:rPr>
          <w:sz w:val="24"/>
          <w:szCs w:val="24"/>
        </w:rPr>
        <w:t>L’</w:t>
      </w:r>
      <w:r w:rsidR="00601BD7" w:rsidRPr="1AD2423B">
        <w:rPr>
          <w:sz w:val="24"/>
          <w:szCs w:val="24"/>
        </w:rPr>
        <w:t>O</w:t>
      </w:r>
      <w:r w:rsidRPr="1AD2423B">
        <w:rPr>
          <w:sz w:val="24"/>
          <w:szCs w:val="24"/>
        </w:rPr>
        <w:t>peratore economico qualificato - salvo espresso e specifico diverso patto da quest’ultimo sottoscritto - mantiene tu</w:t>
      </w:r>
      <w:r w:rsidR="00AC6E16">
        <w:rPr>
          <w:sz w:val="24"/>
          <w:szCs w:val="24"/>
        </w:rPr>
        <w:t>t</w:t>
      </w:r>
      <w:r w:rsidRPr="1AD2423B">
        <w:rPr>
          <w:sz w:val="24"/>
          <w:szCs w:val="24"/>
        </w:rPr>
        <w:t xml:space="preserve">ti i diritti di proprietà intellettuale in ordine alle soluzioni tecnologiche rese disponibili in funzione degli interventi di </w:t>
      </w:r>
      <w:r w:rsidR="6F887ABB" w:rsidRPr="1AD2423B">
        <w:rPr>
          <w:sz w:val="24"/>
          <w:szCs w:val="24"/>
        </w:rPr>
        <w:t>cooperazione con</w:t>
      </w:r>
      <w:r w:rsidRPr="1AD2423B">
        <w:rPr>
          <w:sz w:val="24"/>
          <w:szCs w:val="24"/>
        </w:rPr>
        <w:t xml:space="preserve"> </w:t>
      </w:r>
      <w:proofErr w:type="spellStart"/>
      <w:r w:rsidRPr="1AD2423B">
        <w:rPr>
          <w:sz w:val="24"/>
          <w:szCs w:val="24"/>
        </w:rPr>
        <w:t>I.PaC</w:t>
      </w:r>
      <w:proofErr w:type="spellEnd"/>
      <w:r w:rsidRPr="1AD2423B">
        <w:rPr>
          <w:sz w:val="24"/>
          <w:szCs w:val="24"/>
        </w:rPr>
        <w:t>, assicurando, per converso, l'assenza di violazioni dei diritti di terzi e fornendo ad ICDP-DL, ove occorrente, ogni manleva a riguardo.</w:t>
      </w:r>
    </w:p>
    <w:p w14:paraId="00CB88B8" w14:textId="77777777" w:rsidR="006C3F2E" w:rsidRDefault="00CB7943" w:rsidP="00151ABF">
      <w:pPr>
        <w:numPr>
          <w:ilvl w:val="0"/>
          <w:numId w:val="10"/>
        </w:numPr>
        <w:spacing w:after="160" w:line="360" w:lineRule="auto"/>
        <w:ind w:left="357" w:hanging="357"/>
        <w:jc w:val="both"/>
        <w:rPr>
          <w:sz w:val="24"/>
          <w:szCs w:val="24"/>
        </w:rPr>
      </w:pPr>
      <w:r w:rsidRPr="006F061D">
        <w:rPr>
          <w:sz w:val="24"/>
          <w:szCs w:val="24"/>
        </w:rPr>
        <w:t>L’Operatore prende atto ed accetta che i dati personali il cui trattamento risulterà necessario per l’iscrizione e la tenuta dell’Elenco dei Partner tecnologici qualificati e le conseguenti relazioni di ordine te</w:t>
      </w:r>
      <w:r w:rsidR="00BA3265">
        <w:rPr>
          <w:sz w:val="24"/>
          <w:szCs w:val="24"/>
        </w:rPr>
        <w:t>c</w:t>
      </w:r>
      <w:r w:rsidRPr="006F061D">
        <w:rPr>
          <w:sz w:val="24"/>
          <w:szCs w:val="24"/>
        </w:rPr>
        <w:t xml:space="preserve">nico-organizzativo saranno dal Soggetto Gestore trattati nel rispetto della normativa di cui al Regolamento UE 2016/679 ed in conformità ai principi stabiliti dal Regolamento medesimo, nonché del </w:t>
      </w:r>
      <w:proofErr w:type="spellStart"/>
      <w:r w:rsidRPr="006F061D">
        <w:rPr>
          <w:sz w:val="24"/>
          <w:szCs w:val="24"/>
        </w:rPr>
        <w:t>D.Lgs.</w:t>
      </w:r>
      <w:proofErr w:type="spellEnd"/>
      <w:r w:rsidRPr="006F061D">
        <w:rPr>
          <w:sz w:val="24"/>
          <w:szCs w:val="24"/>
        </w:rPr>
        <w:t xml:space="preserve"> 30 giugno 2003, n. 196. </w:t>
      </w:r>
    </w:p>
    <w:p w14:paraId="17B17EDD" w14:textId="1464F9B0" w:rsidR="00CB7943" w:rsidRPr="006F061D" w:rsidRDefault="00CB7943" w:rsidP="00151ABF">
      <w:pPr>
        <w:numPr>
          <w:ilvl w:val="0"/>
          <w:numId w:val="10"/>
        </w:numPr>
        <w:spacing w:after="160" w:line="360" w:lineRule="auto"/>
        <w:ind w:left="357" w:hanging="357"/>
        <w:jc w:val="both"/>
        <w:rPr>
          <w:sz w:val="24"/>
          <w:szCs w:val="24"/>
        </w:rPr>
      </w:pPr>
      <w:r w:rsidRPr="006F061D">
        <w:rPr>
          <w:sz w:val="24"/>
          <w:szCs w:val="24"/>
        </w:rPr>
        <w:t>Titolare del trattamento sarà il Ministero della Cultura. Responsabile del trattamento sarà ICDP-DL</w:t>
      </w:r>
      <w:r w:rsidR="00A855E0">
        <w:rPr>
          <w:sz w:val="24"/>
          <w:szCs w:val="24"/>
        </w:rPr>
        <w:t>.</w:t>
      </w:r>
    </w:p>
    <w:p w14:paraId="1C1738F7" w14:textId="3CB4BEF7" w:rsidR="002416C8" w:rsidRPr="006F061D" w:rsidRDefault="000B58B3">
      <w:pPr>
        <w:spacing w:after="120"/>
        <w:jc w:val="center"/>
        <w:rPr>
          <w:rFonts w:eastAsia="SimSun"/>
          <w:b/>
          <w:bCs/>
          <w:kern w:val="2"/>
          <w:sz w:val="24"/>
          <w:szCs w:val="24"/>
          <w:lang w:eastAsia="en-US"/>
        </w:rPr>
      </w:pPr>
      <w:r w:rsidRPr="006F061D">
        <w:rPr>
          <w:rFonts w:eastAsia="SimSun"/>
          <w:b/>
          <w:bCs/>
          <w:kern w:val="2"/>
          <w:sz w:val="24"/>
          <w:szCs w:val="24"/>
          <w:lang w:eastAsia="en-US"/>
        </w:rPr>
        <w:t xml:space="preserve">Art. </w:t>
      </w:r>
      <w:r w:rsidR="00B00C17" w:rsidRPr="006F061D">
        <w:rPr>
          <w:rFonts w:eastAsia="SimSun"/>
          <w:b/>
          <w:bCs/>
          <w:kern w:val="2"/>
          <w:sz w:val="24"/>
          <w:szCs w:val="24"/>
          <w:lang w:eastAsia="en-US"/>
        </w:rPr>
        <w:t>8</w:t>
      </w:r>
    </w:p>
    <w:p w14:paraId="1C1738F8" w14:textId="77777777" w:rsidR="002416C8" w:rsidRPr="006F061D" w:rsidRDefault="000B58B3">
      <w:pPr>
        <w:spacing w:after="120"/>
        <w:jc w:val="center"/>
        <w:rPr>
          <w:rFonts w:eastAsia="SimSun"/>
          <w:b/>
          <w:bCs/>
          <w:kern w:val="2"/>
          <w:sz w:val="24"/>
          <w:szCs w:val="32"/>
          <w:lang w:eastAsia="en-US"/>
        </w:rPr>
      </w:pPr>
      <w:r w:rsidRPr="006F061D">
        <w:rPr>
          <w:rFonts w:eastAsia="SimSun"/>
          <w:b/>
          <w:bCs/>
          <w:kern w:val="2"/>
          <w:sz w:val="24"/>
          <w:szCs w:val="32"/>
          <w:lang w:eastAsia="en-US"/>
        </w:rPr>
        <w:t>Comunicazioni e scambio di informazioni</w:t>
      </w:r>
    </w:p>
    <w:p w14:paraId="1C1738F9" w14:textId="3CB1E76D" w:rsidR="002416C8" w:rsidRPr="006F061D" w:rsidRDefault="000B58B3" w:rsidP="00151ABF">
      <w:pPr>
        <w:numPr>
          <w:ilvl w:val="0"/>
          <w:numId w:val="11"/>
        </w:numPr>
        <w:spacing w:line="360" w:lineRule="auto"/>
        <w:jc w:val="both"/>
        <w:rPr>
          <w:sz w:val="24"/>
          <w:szCs w:val="24"/>
        </w:rPr>
      </w:pPr>
      <w:r w:rsidRPr="006F061D">
        <w:rPr>
          <w:sz w:val="24"/>
          <w:szCs w:val="24"/>
        </w:rPr>
        <w:t xml:space="preserve">Ai fini della digitalizzazione dell’intero ciclo di vita delle attività oggetto </w:t>
      </w:r>
      <w:r w:rsidR="00B00C17" w:rsidRPr="006F061D">
        <w:rPr>
          <w:sz w:val="24"/>
          <w:szCs w:val="24"/>
        </w:rPr>
        <w:t>del presente Atto</w:t>
      </w:r>
      <w:r w:rsidRPr="006F061D">
        <w:rPr>
          <w:sz w:val="24"/>
          <w:szCs w:val="24"/>
        </w:rPr>
        <w:t xml:space="preserve">, tutte le comunicazioni devono avvenire per il tramite del domicilio digitale delle Parti ai sensi dell'articolo 1, comma 1, lettera n-ter del decreto legislativo 7 marzo 2005, n. 82. </w:t>
      </w:r>
    </w:p>
    <w:p w14:paraId="1C1738FA" w14:textId="77777777" w:rsidR="002416C8" w:rsidRPr="006F061D" w:rsidRDefault="000B58B3" w:rsidP="00151ABF">
      <w:pPr>
        <w:numPr>
          <w:ilvl w:val="0"/>
          <w:numId w:val="11"/>
        </w:numPr>
        <w:spacing w:line="360" w:lineRule="auto"/>
        <w:jc w:val="both"/>
        <w:rPr>
          <w:sz w:val="24"/>
          <w:szCs w:val="24"/>
        </w:rPr>
      </w:pPr>
      <w:r w:rsidRPr="006F061D">
        <w:rPr>
          <w:sz w:val="24"/>
          <w:szCs w:val="24"/>
        </w:rPr>
        <w:t xml:space="preserve">Nello specifico, si stabiliscono le seguenti modalità di invio telematico: </w:t>
      </w:r>
    </w:p>
    <w:p w14:paraId="1C1738FB" w14:textId="6DDDB0A4" w:rsidR="002416C8" w:rsidRPr="006F061D" w:rsidRDefault="00B00C17" w:rsidP="00151ABF">
      <w:pPr>
        <w:pStyle w:val="ListParagraph"/>
        <w:numPr>
          <w:ilvl w:val="0"/>
          <w:numId w:val="4"/>
        </w:numPr>
        <w:spacing w:line="360" w:lineRule="auto"/>
        <w:jc w:val="both"/>
        <w:rPr>
          <w:rFonts w:eastAsia="SimSun"/>
          <w:kern w:val="2"/>
          <w:sz w:val="24"/>
          <w:szCs w:val="24"/>
          <w:lang w:eastAsia="zh-CN"/>
        </w:rPr>
      </w:pPr>
      <w:r w:rsidRPr="006F061D">
        <w:rPr>
          <w:rFonts w:eastAsia="SimSun"/>
          <w:kern w:val="2"/>
          <w:sz w:val="24"/>
          <w:szCs w:val="24"/>
          <w:lang w:eastAsia="zh-CN"/>
        </w:rPr>
        <w:t>Atto di impegno e disciplinare:</w:t>
      </w:r>
      <w:r w:rsidR="00A855E0">
        <w:rPr>
          <w:rFonts w:eastAsia="SimSun"/>
          <w:kern w:val="2"/>
          <w:sz w:val="24"/>
          <w:szCs w:val="24"/>
          <w:lang w:eastAsia="zh-CN"/>
        </w:rPr>
        <w:t xml:space="preserve"> </w:t>
      </w:r>
      <w:r w:rsidR="000B58B3" w:rsidRPr="006F061D">
        <w:rPr>
          <w:rFonts w:eastAsia="SimSun"/>
          <w:kern w:val="2"/>
          <w:sz w:val="24"/>
          <w:szCs w:val="24"/>
          <w:lang w:eastAsia="zh-CN"/>
        </w:rPr>
        <w:t xml:space="preserve">obbligatorio l’invio a mezzo posta elettronica istituzionale certificata (PEC) del documento firmato </w:t>
      </w:r>
      <w:r w:rsidR="00A855E0" w:rsidRPr="006F061D">
        <w:rPr>
          <w:rFonts w:eastAsia="SimSun"/>
          <w:kern w:val="2"/>
          <w:sz w:val="24"/>
          <w:szCs w:val="24"/>
          <w:lang w:eastAsia="zh-CN"/>
        </w:rPr>
        <w:t>digitalmente</w:t>
      </w:r>
      <w:r w:rsidR="000B58B3" w:rsidRPr="006F061D">
        <w:rPr>
          <w:rFonts w:eastAsia="SimSun"/>
          <w:kern w:val="2"/>
          <w:sz w:val="24"/>
          <w:szCs w:val="24"/>
          <w:lang w:eastAsia="zh-CN"/>
        </w:rPr>
        <w:t>;</w:t>
      </w:r>
    </w:p>
    <w:p w14:paraId="1C1738FD" w14:textId="1D3D35F3" w:rsidR="002416C8" w:rsidRPr="006F061D" w:rsidRDefault="00B00C17" w:rsidP="00151ABF">
      <w:pPr>
        <w:pStyle w:val="ListParagraph"/>
        <w:numPr>
          <w:ilvl w:val="0"/>
          <w:numId w:val="4"/>
        </w:numPr>
        <w:spacing w:line="360" w:lineRule="auto"/>
        <w:jc w:val="both"/>
        <w:rPr>
          <w:rFonts w:eastAsia="SimSun"/>
          <w:kern w:val="2"/>
          <w:sz w:val="24"/>
          <w:szCs w:val="24"/>
          <w:lang w:eastAsia="zh-CN"/>
        </w:rPr>
      </w:pPr>
      <w:r w:rsidRPr="006F061D">
        <w:rPr>
          <w:rFonts w:eastAsia="SimSun"/>
          <w:kern w:val="2"/>
          <w:sz w:val="24"/>
          <w:szCs w:val="24"/>
          <w:lang w:eastAsia="zh-CN"/>
        </w:rPr>
        <w:t>c</w:t>
      </w:r>
      <w:r w:rsidR="000B58B3" w:rsidRPr="006F061D">
        <w:rPr>
          <w:rFonts w:eastAsia="SimSun"/>
          <w:kern w:val="2"/>
          <w:sz w:val="24"/>
          <w:szCs w:val="24"/>
          <w:lang w:eastAsia="zh-CN"/>
        </w:rPr>
        <w:t>omunicazioni ordinarie:</w:t>
      </w:r>
      <w:r w:rsidR="00B12C68" w:rsidRPr="006F061D">
        <w:rPr>
          <w:rFonts w:eastAsia="SimSun"/>
          <w:kern w:val="2"/>
          <w:sz w:val="24"/>
          <w:szCs w:val="24"/>
          <w:lang w:eastAsia="zh-CN"/>
        </w:rPr>
        <w:t xml:space="preserve"> quando non diversamente stabilito</w:t>
      </w:r>
      <w:r w:rsidRPr="006F061D">
        <w:rPr>
          <w:rFonts w:eastAsia="SimSun"/>
          <w:kern w:val="2"/>
          <w:sz w:val="24"/>
          <w:szCs w:val="24"/>
          <w:lang w:eastAsia="zh-CN"/>
        </w:rPr>
        <w:t xml:space="preserve"> o richiesto dalla natura dell’atto</w:t>
      </w:r>
      <w:r w:rsidR="00245974" w:rsidRPr="006F061D">
        <w:rPr>
          <w:rFonts w:eastAsia="SimSun"/>
          <w:kern w:val="2"/>
          <w:sz w:val="24"/>
          <w:szCs w:val="24"/>
          <w:lang w:eastAsia="zh-CN"/>
        </w:rPr>
        <w:t xml:space="preserve"> (ad esempio, comunicazione di recesso o di revoca)</w:t>
      </w:r>
      <w:r w:rsidR="00B12C68" w:rsidRPr="006F061D">
        <w:rPr>
          <w:rFonts w:eastAsia="SimSun"/>
          <w:kern w:val="2"/>
          <w:sz w:val="24"/>
          <w:szCs w:val="24"/>
          <w:lang w:eastAsia="zh-CN"/>
        </w:rPr>
        <w:t>,</w:t>
      </w:r>
      <w:r w:rsidR="000B58B3" w:rsidRPr="006F061D">
        <w:rPr>
          <w:rFonts w:eastAsia="SimSun"/>
          <w:kern w:val="2"/>
          <w:sz w:val="24"/>
          <w:szCs w:val="24"/>
          <w:lang w:eastAsia="zh-CN"/>
        </w:rPr>
        <w:t xml:space="preserve"> invio a mezzo posta elettronica istituzionale.</w:t>
      </w:r>
    </w:p>
    <w:p w14:paraId="67F96859" w14:textId="77777777" w:rsidR="00134A96" w:rsidRDefault="00134A96" w:rsidP="00134A96">
      <w:pPr>
        <w:spacing w:line="360" w:lineRule="auto"/>
        <w:ind w:left="720"/>
        <w:jc w:val="both"/>
        <w:rPr>
          <w:rFonts w:eastAsia="SimSun"/>
          <w:kern w:val="2"/>
          <w:sz w:val="24"/>
          <w:szCs w:val="24"/>
          <w:lang w:eastAsia="zh-CN"/>
        </w:rPr>
      </w:pPr>
    </w:p>
    <w:p w14:paraId="73AB167C" w14:textId="48895D47" w:rsidR="004B30DF" w:rsidRPr="006F061D" w:rsidRDefault="00245974" w:rsidP="00170B6A">
      <w:pPr>
        <w:spacing w:line="360" w:lineRule="auto"/>
        <w:jc w:val="both"/>
        <w:rPr>
          <w:sz w:val="24"/>
          <w:szCs w:val="24"/>
        </w:rPr>
      </w:pPr>
      <w:r w:rsidRPr="006F061D">
        <w:rPr>
          <w:rFonts w:eastAsia="SimSun"/>
          <w:b/>
          <w:bCs/>
          <w:kern w:val="2"/>
          <w:sz w:val="24"/>
          <w:szCs w:val="24"/>
          <w:lang w:eastAsia="en-US"/>
        </w:rPr>
        <w:t>***</w:t>
      </w:r>
      <w:r w:rsidRPr="006F061D">
        <w:rPr>
          <w:sz w:val="24"/>
          <w:szCs w:val="24"/>
        </w:rPr>
        <w:t>Il presente atto viene letto, approvato e sottoscritto, per accettazione, dall’Operatore individuato in epigra</w:t>
      </w:r>
      <w:r w:rsidR="00A013A9" w:rsidRPr="006F061D">
        <w:rPr>
          <w:sz w:val="24"/>
          <w:szCs w:val="24"/>
        </w:rPr>
        <w:t xml:space="preserve">fe, ai senti dell’articolo 24 del decreto legislativo 7 marzo 2005, n.82 e </w:t>
      </w:r>
      <w:proofErr w:type="spellStart"/>
      <w:r w:rsidR="00A013A9" w:rsidRPr="006F061D">
        <w:rPr>
          <w:sz w:val="24"/>
          <w:szCs w:val="24"/>
        </w:rPr>
        <w:t>s.m.i</w:t>
      </w:r>
      <w:proofErr w:type="spellEnd"/>
      <w:r w:rsidR="00A013A9" w:rsidRPr="006F061D">
        <w:rPr>
          <w:sz w:val="24"/>
          <w:szCs w:val="24"/>
        </w:rPr>
        <w:t xml:space="preserve"> (Codice dell’amministrazione digitale).</w:t>
      </w:r>
      <w:r w:rsidR="00134A96">
        <w:rPr>
          <w:sz w:val="24"/>
          <w:szCs w:val="24"/>
        </w:rPr>
        <w:t xml:space="preserve"> Il presente atto viene altresì sottoscritto per approvazione da</w:t>
      </w:r>
      <w:r w:rsidR="00757726">
        <w:rPr>
          <w:sz w:val="24"/>
          <w:szCs w:val="24"/>
        </w:rPr>
        <w:t xml:space="preserve"> ICDP -DL.</w:t>
      </w:r>
    </w:p>
    <w:p w14:paraId="79453EFB" w14:textId="77777777" w:rsidR="00170B6A" w:rsidRDefault="00170B6A">
      <w:pPr>
        <w:spacing w:line="360" w:lineRule="auto"/>
        <w:rPr>
          <w:sz w:val="24"/>
          <w:szCs w:val="24"/>
        </w:rPr>
      </w:pPr>
    </w:p>
    <w:p w14:paraId="1C173904" w14:textId="0EA20923" w:rsidR="002416C8" w:rsidRPr="006F061D" w:rsidRDefault="000B58B3" w:rsidP="008219E7">
      <w:pPr>
        <w:spacing w:line="360" w:lineRule="auto"/>
        <w:jc w:val="center"/>
        <w:rPr>
          <w:sz w:val="24"/>
          <w:szCs w:val="24"/>
        </w:rPr>
      </w:pPr>
      <w:r w:rsidRPr="006F061D">
        <w:rPr>
          <w:sz w:val="24"/>
          <w:szCs w:val="24"/>
        </w:rPr>
        <w:t>Letto, confermato e sottoscritto</w:t>
      </w:r>
    </w:p>
    <w:p w14:paraId="1C173905" w14:textId="77777777" w:rsidR="002416C8" w:rsidRPr="006F061D" w:rsidRDefault="002416C8">
      <w:pPr>
        <w:spacing w:line="360" w:lineRule="auto"/>
        <w:rPr>
          <w:sz w:val="24"/>
          <w:szCs w:val="24"/>
        </w:rPr>
      </w:pPr>
    </w:p>
    <w:tbl>
      <w:tblPr>
        <w:tblW w:w="10068" w:type="dxa"/>
        <w:tblLayout w:type="fixed"/>
        <w:tblLook w:val="0000" w:firstRow="0" w:lastRow="0" w:firstColumn="0" w:lastColumn="0" w:noHBand="0" w:noVBand="0"/>
      </w:tblPr>
      <w:tblGrid>
        <w:gridCol w:w="5382"/>
        <w:gridCol w:w="4686"/>
      </w:tblGrid>
      <w:tr w:rsidR="00B71B8B" w:rsidRPr="006F061D" w14:paraId="1C173908" w14:textId="77777777" w:rsidTr="00B71B8B">
        <w:tc>
          <w:tcPr>
            <w:tcW w:w="5382" w:type="dxa"/>
            <w:shd w:val="clear" w:color="auto" w:fill="FFFFFF"/>
          </w:tcPr>
          <w:p w14:paraId="17324F0B" w14:textId="317A3DF4" w:rsidR="00B71B8B" w:rsidRDefault="00B71B8B" w:rsidP="00B71B8B">
            <w:pPr>
              <w:widowControl w:val="0"/>
              <w:spacing w:line="360" w:lineRule="auto"/>
              <w:jc w:val="both"/>
              <w:rPr>
                <w:sz w:val="24"/>
                <w:szCs w:val="24"/>
              </w:rPr>
            </w:pPr>
            <w:r w:rsidRPr="006F061D">
              <w:rPr>
                <w:sz w:val="24"/>
                <w:szCs w:val="24"/>
              </w:rPr>
              <w:t>Per l’Operatore</w:t>
            </w:r>
            <w:r w:rsidR="0050470B">
              <w:rPr>
                <w:sz w:val="24"/>
                <w:szCs w:val="24"/>
              </w:rPr>
              <w:t xml:space="preserve"> economico</w:t>
            </w:r>
          </w:p>
          <w:p w14:paraId="1C173906" w14:textId="7DFB2D61" w:rsidR="00B71B8B" w:rsidRPr="006F061D" w:rsidRDefault="00B71B8B" w:rsidP="00B71B8B">
            <w:pPr>
              <w:widowControl w:val="0"/>
              <w:spacing w:line="360" w:lineRule="auto"/>
              <w:jc w:val="both"/>
              <w:rPr>
                <w:sz w:val="24"/>
                <w:szCs w:val="24"/>
              </w:rPr>
            </w:pPr>
            <w:r w:rsidRPr="00B71B8B">
              <w:rPr>
                <w:sz w:val="24"/>
                <w:szCs w:val="24"/>
              </w:rPr>
              <w:t>Dott./Dott.ssa ___ ____</w:t>
            </w:r>
          </w:p>
        </w:tc>
        <w:tc>
          <w:tcPr>
            <w:tcW w:w="4686" w:type="dxa"/>
            <w:shd w:val="clear" w:color="auto" w:fill="FFFFFF"/>
          </w:tcPr>
          <w:p w14:paraId="1AD1E466" w14:textId="77777777" w:rsidR="00B71B8B" w:rsidRDefault="00B71B8B" w:rsidP="00B71B8B">
            <w:pPr>
              <w:widowControl w:val="0"/>
              <w:spacing w:line="360" w:lineRule="auto"/>
              <w:jc w:val="both"/>
              <w:rPr>
                <w:sz w:val="24"/>
                <w:szCs w:val="24"/>
              </w:rPr>
            </w:pPr>
            <w:r>
              <w:rPr>
                <w:sz w:val="24"/>
                <w:szCs w:val="24"/>
              </w:rPr>
              <w:t xml:space="preserve">Per l'Istituto centrale per la digitalizzazione </w:t>
            </w:r>
          </w:p>
          <w:p w14:paraId="0133D135" w14:textId="77777777" w:rsidR="00B71B8B" w:rsidRDefault="00B71B8B" w:rsidP="00B71B8B">
            <w:pPr>
              <w:widowControl w:val="0"/>
              <w:spacing w:line="360" w:lineRule="auto"/>
              <w:jc w:val="both"/>
              <w:rPr>
                <w:sz w:val="24"/>
                <w:szCs w:val="24"/>
              </w:rPr>
            </w:pPr>
            <w:r>
              <w:rPr>
                <w:sz w:val="24"/>
                <w:szCs w:val="24"/>
              </w:rPr>
              <w:t>del patrimonio culturale</w:t>
            </w:r>
          </w:p>
          <w:p w14:paraId="1C173907" w14:textId="3BEDA1EA" w:rsidR="00B71B8B" w:rsidRPr="006F061D" w:rsidRDefault="00B71B8B" w:rsidP="00B71B8B">
            <w:pPr>
              <w:widowControl w:val="0"/>
              <w:spacing w:line="360" w:lineRule="auto"/>
              <w:jc w:val="both"/>
              <w:rPr>
                <w:sz w:val="24"/>
                <w:szCs w:val="24"/>
              </w:rPr>
            </w:pPr>
            <w:r>
              <w:rPr>
                <w:sz w:val="24"/>
                <w:szCs w:val="24"/>
              </w:rPr>
              <w:t>– Digital Library</w:t>
            </w:r>
          </w:p>
        </w:tc>
      </w:tr>
      <w:tr w:rsidR="00B71B8B" w:rsidRPr="006F061D" w14:paraId="1C17390B" w14:textId="77777777" w:rsidTr="00B71B8B">
        <w:tc>
          <w:tcPr>
            <w:tcW w:w="5382" w:type="dxa"/>
            <w:shd w:val="clear" w:color="auto" w:fill="FFFFFF"/>
          </w:tcPr>
          <w:p w14:paraId="1C173909" w14:textId="55F4AE6A" w:rsidR="00B71B8B" w:rsidRPr="006F061D" w:rsidRDefault="00B71B8B" w:rsidP="00B71B8B">
            <w:pPr>
              <w:widowControl w:val="0"/>
              <w:spacing w:line="360" w:lineRule="auto"/>
              <w:jc w:val="both"/>
              <w:rPr>
                <w:sz w:val="24"/>
                <w:szCs w:val="24"/>
              </w:rPr>
            </w:pPr>
          </w:p>
        </w:tc>
        <w:tc>
          <w:tcPr>
            <w:tcW w:w="4686" w:type="dxa"/>
            <w:shd w:val="clear" w:color="auto" w:fill="FFFFFF"/>
          </w:tcPr>
          <w:p w14:paraId="1C17390A" w14:textId="34E16B8C" w:rsidR="00B71B8B" w:rsidRPr="006F061D" w:rsidRDefault="00B71B8B" w:rsidP="00B71B8B">
            <w:pPr>
              <w:widowControl w:val="0"/>
              <w:spacing w:line="360" w:lineRule="auto"/>
              <w:jc w:val="both"/>
              <w:rPr>
                <w:sz w:val="24"/>
                <w:szCs w:val="24"/>
              </w:rPr>
            </w:pPr>
            <w:r>
              <w:rPr>
                <w:sz w:val="24"/>
                <w:szCs w:val="24"/>
              </w:rPr>
              <w:t>Dott. Giuliano Romalli</w:t>
            </w:r>
          </w:p>
        </w:tc>
      </w:tr>
    </w:tbl>
    <w:p w14:paraId="1C17390E" w14:textId="77777777" w:rsidR="002416C8" w:rsidRPr="006F061D" w:rsidRDefault="002416C8">
      <w:pPr>
        <w:rPr>
          <w:sz w:val="24"/>
          <w:szCs w:val="24"/>
        </w:rPr>
      </w:pPr>
    </w:p>
    <w:sectPr w:rsidR="002416C8" w:rsidRPr="006F061D" w:rsidSect="00367CB3">
      <w:headerReference w:type="default" r:id="rId11"/>
      <w:headerReference w:type="first" r:id="rId12"/>
      <w:pgSz w:w="12240" w:h="15840"/>
      <w:pgMar w:top="1780" w:right="1191" w:bottom="1911" w:left="1247" w:header="1191" w:footer="1191" w:gutter="0"/>
      <w:cols w:space="720"/>
      <w:formProt w:val="0"/>
      <w:docGrid w:linePitch="381"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5A57E" w14:textId="77777777" w:rsidR="004D76CD" w:rsidRDefault="004D76CD">
      <w:r>
        <w:separator/>
      </w:r>
    </w:p>
  </w:endnote>
  <w:endnote w:type="continuationSeparator" w:id="0">
    <w:p w14:paraId="27C5956E" w14:textId="77777777" w:rsidR="004D76CD" w:rsidRDefault="004D76CD">
      <w:r>
        <w:continuationSeparator/>
      </w:r>
    </w:p>
  </w:endnote>
  <w:endnote w:type="continuationNotice" w:id="1">
    <w:p w14:paraId="0EC8FF5F" w14:textId="77777777" w:rsidR="004D76CD" w:rsidRDefault="004D7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OpenSymbol">
    <w:altName w:val="Yu Gothic"/>
    <w:charset w:val="01"/>
    <w:family w:val="auto"/>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2F455" w14:textId="77777777" w:rsidR="004D76CD" w:rsidRDefault="004D76CD">
      <w:r>
        <w:separator/>
      </w:r>
    </w:p>
  </w:footnote>
  <w:footnote w:type="continuationSeparator" w:id="0">
    <w:p w14:paraId="25166713" w14:textId="77777777" w:rsidR="004D76CD" w:rsidRDefault="004D76CD">
      <w:r>
        <w:continuationSeparator/>
      </w:r>
    </w:p>
  </w:footnote>
  <w:footnote w:type="continuationNotice" w:id="1">
    <w:p w14:paraId="41C6236B" w14:textId="77777777" w:rsidR="004D76CD" w:rsidRDefault="004D7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3910" w14:textId="5FFBF578" w:rsidR="002416C8" w:rsidRDefault="00366D85">
    <w:r>
      <w:rPr>
        <w:noProof/>
      </w:rPr>
      <mc:AlternateContent>
        <mc:Choice Requires="wps">
          <w:drawing>
            <wp:anchor distT="0" distB="0" distL="114300" distR="114300" simplePos="0" relativeHeight="251658243" behindDoc="0" locked="0" layoutInCell="1" allowOverlap="1" wp14:anchorId="1C173919" wp14:editId="7959B0A8">
              <wp:simplePos x="0" y="0"/>
              <wp:positionH relativeFrom="column">
                <wp:posOffset>0</wp:posOffset>
              </wp:positionH>
              <wp:positionV relativeFrom="paragraph">
                <wp:posOffset>0</wp:posOffset>
              </wp:positionV>
              <wp:extent cx="635000" cy="635000"/>
              <wp:effectExtent l="9525" t="9525" r="12700" b="12700"/>
              <wp:wrapNone/>
              <wp:docPr id="960508653" name="Figura a mano libera: forma 4" hidden="1">
                <a:extLst xmlns:a="http://schemas.openxmlformats.org/drawingml/2006/main">
                  <a:ext uri="{FF2B5EF4-FFF2-40B4-BE49-F238E27FC236}">
                    <a16:creationId xmlns:a16="http://schemas.microsoft.com/office/drawing/2014/main" id="{E363B777-6C8F-4E8A-AB1E-ADF0BFA46E4F}"/>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v:shape id="Figura a mano libera: forma 4" style="position:absolute;margin-left:0;margin-top:0;width:50pt;height:50pt;z-index:251658243;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id="_x0000_s1026" path="m,l21600,em,21600r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" w14:anchorId="79E60B71">
              <v:stroke joinstyle="miter"/>
              <v:path o:connecttype="custom" o:connectlocs="0,0;635000,0;0,635000;635000,635000" o:connectangles="0,0,0,0"/>
              <o:lock v:ext="edit" selection="t"/>
            </v:shape>
          </w:pict>
        </mc:Fallback>
      </mc:AlternateContent>
    </w:r>
    <w:r w:rsidR="7E1745C4">
      <w:rPr>
        <w:noProof/>
      </w:rPr>
      <w:drawing>
        <wp:inline distT="0" distB="0" distL="0" distR="0" wp14:anchorId="5A5AC33E" wp14:editId="45680186">
          <wp:extent cx="6229350" cy="304800"/>
          <wp:effectExtent l="0" t="0" r="0" b="0"/>
          <wp:docPr id="671425789" name="drawing">
            <a:extLst xmlns:a="http://schemas.openxmlformats.org/drawingml/2006/main">
              <a:ext uri="{FF2B5EF4-FFF2-40B4-BE49-F238E27FC236}">
                <a16:creationId xmlns:a16="http://schemas.microsoft.com/office/drawing/2014/main" id="{8C76EB4E-B25E-44F9-9E3F-4BFD600B3C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25789" name=""/>
                  <pic:cNvPicPr/>
                </pic:nvPicPr>
                <pic:blipFill>
                  <a:blip r:embed="rId1">
                    <a:extLst>
                      <a:ext uri="{28A0092B-C50C-407E-A947-70E740481C1C}">
                        <a14:useLocalDpi xmlns:a14="http://schemas.microsoft.com/office/drawing/2010/main" val="0"/>
                      </a:ext>
                    </a:extLst>
                  </a:blip>
                  <a:stretch>
                    <a:fillRect/>
                  </a:stretch>
                </pic:blipFill>
                <pic:spPr>
                  <a:xfrm>
                    <a:off x="0" y="0"/>
                    <a:ext cx="6229350" cy="304800"/>
                  </a:xfrm>
                  <a:prstGeom prst="rect">
                    <a:avLst/>
                  </a:prstGeom>
                </pic:spPr>
              </pic:pic>
            </a:graphicData>
          </a:graphic>
        </wp:inline>
      </w:drawing>
    </w:r>
  </w:p>
  <w:p w14:paraId="1C173911" w14:textId="77777777" w:rsidR="002416C8" w:rsidRDefault="002416C8"/>
  <w:p w14:paraId="1C173912" w14:textId="77777777" w:rsidR="002416C8" w:rsidRDefault="002416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3915" w14:textId="76F6FDB0" w:rsidR="002416C8" w:rsidRDefault="00366D85">
    <w:r>
      <w:rPr>
        <w:noProof/>
      </w:rPr>
      <mc:AlternateContent>
        <mc:Choice Requires="wps">
          <w:drawing>
            <wp:anchor distT="0" distB="0" distL="114300" distR="114300" simplePos="0" relativeHeight="251658244" behindDoc="0" locked="0" layoutInCell="1" allowOverlap="1" wp14:anchorId="1C173921" wp14:editId="1478BCFD">
              <wp:simplePos x="0" y="0"/>
              <wp:positionH relativeFrom="column">
                <wp:posOffset>0</wp:posOffset>
              </wp:positionH>
              <wp:positionV relativeFrom="paragraph">
                <wp:posOffset>0</wp:posOffset>
              </wp:positionV>
              <wp:extent cx="635000" cy="635000"/>
              <wp:effectExtent l="9525" t="9525" r="12700" b="12700"/>
              <wp:wrapNone/>
              <wp:docPr id="129392958" name="Figura a mano libera: forma 6" hidden="1">
                <a:extLst xmlns:a="http://schemas.openxmlformats.org/drawingml/2006/main">
                  <a:ext uri="{FF2B5EF4-FFF2-40B4-BE49-F238E27FC236}">
                    <a16:creationId xmlns:a16="http://schemas.microsoft.com/office/drawing/2014/main" id="{2CB35535-2206-4845-AEE5-2D2B5932D9E5}"/>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xmlns:pic="http://schemas.openxmlformats.org/drawingml/2006/picture" xmlns:arto="http://schemas.microsoft.com/office/word/2006/arto">
          <w:pict>
            <v:shape id="Figura a mano libera: forma 6" style="position:absolute;margin-left:0;margin-top:0;width:50pt;height:50pt;z-index:2516582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id="_x0000_s1026" path="m,l21600,em,21600r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" w14:anchorId="314F30B0">
              <v:stroke joinstyle="miter"/>
              <v:path o:connecttype="custom" o:connectlocs="0,0;635000,0;0,635000;635000,635000" o:connectangles="0,0,0,0"/>
              <o:lock v:ext="edit" selection="t"/>
            </v:shape>
          </w:pict>
        </mc:Fallback>
      </mc:AlternateContent>
    </w:r>
    <w:r>
      <w:rPr>
        <w:noProof/>
      </w:rPr>
      <mc:AlternateContent>
        <mc:Choice Requires="wps">
          <w:drawing>
            <wp:anchor distT="0" distB="0" distL="114300" distR="114300" simplePos="0" relativeHeight="251658245" behindDoc="0" locked="0" layoutInCell="0" allowOverlap="1" wp14:anchorId="1C173921" wp14:editId="2E39B8E0">
              <wp:simplePos x="0" y="0"/>
              <wp:positionH relativeFrom="margin">
                <wp:align>center</wp:align>
              </wp:positionH>
              <wp:positionV relativeFrom="margin">
                <wp:align>center</wp:align>
              </wp:positionV>
              <wp:extent cx="5236845" cy="1940560"/>
              <wp:effectExtent l="0" t="1228725" r="0" b="1526540"/>
              <wp:wrapNone/>
              <wp:docPr id="2108639254" name="Figura a mano libera: forma 5">
                <a:extLst xmlns:a="http://schemas.openxmlformats.org/drawingml/2006/main">
                  <a:ext uri="{FF2B5EF4-FFF2-40B4-BE49-F238E27FC236}">
                    <a16:creationId xmlns:a16="http://schemas.microsoft.com/office/drawing/2014/main" id="{E17FE77A-C408-4A75-91F6-C9718EA31B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00000">
                        <a:off x="0" y="0"/>
                        <a:ext cx="5236845" cy="194056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 name="T8" fmla="*/ 3163 w 21600"/>
                          <a:gd name="T9" fmla="*/ 3163 h 21600"/>
                          <a:gd name="T10" fmla="*/ 18437 w 21600"/>
                          <a:gd name="T11" fmla="*/ 18437 h 21600"/>
                        </a:gdLst>
                        <a:ahLst/>
                        <a:cxnLst>
                          <a:cxn ang="0">
                            <a:pos x="T0" y="T1"/>
                          </a:cxn>
                          <a:cxn ang="0">
                            <a:pos x="T2" y="T3"/>
                          </a:cxn>
                          <a:cxn ang="0">
                            <a:pos x="T4" y="T5"/>
                          </a:cxn>
                          <a:cxn ang="0">
                            <a:pos x="T6" y="T7"/>
                          </a:cxn>
                        </a:cxnLst>
                        <a:rect l="T8" t="T9" r="T10" b="T11"/>
                        <a:pathLst>
                          <a:path w="21600" h="21600">
                            <a:moveTo>
                              <a:pt x="0" y="0"/>
                            </a:moveTo>
                            <a:lnTo>
                              <a:pt x="21600" y="0"/>
                            </a:lnTo>
                          </a:path>
                          <a:path w="21600" h="21600">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xmlns:pic="http://schemas.openxmlformats.org/drawingml/2006/picture" xmlns:arto="http://schemas.microsoft.com/office/word/2006/arto">
          <w:pict>
            <v:shape id="Figura a mano libera: forma 5" style="position:absolute;margin-left:0;margin-top:0;width:412.35pt;height:152.8pt;rotation:-45;z-index:251658245;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coordsize="21600,21600" o:spid="_x0000_s1026" o:allowincell="f" fillcolor="silver" stroked="f" strokecolor="#3465a4" path="m,l21600,em,21600r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" w14:anchorId="052CBC76">
              <v:fill opacity="32896f"/>
              <v:path textboxrect="3163,3163,18437,18437" o:connecttype="custom" o:connectlocs="0,0;5236845,0;0,1940560;5236845,1940560" o:connectangles="0,0,0,0"/>
              <w10:wrap anchorx="margin" anchory="margin"/>
            </v:shape>
          </w:pict>
        </mc:Fallback>
      </mc:AlternateContent>
    </w:r>
    <w:r w:rsidR="000B58B3">
      <w:rPr>
        <w:noProof/>
      </w:rPr>
      <w:drawing>
        <wp:anchor distT="0" distB="0" distL="114300" distR="114300" simplePos="0" relativeHeight="251658240" behindDoc="0" locked="0" layoutInCell="0" allowOverlap="1" wp14:anchorId="1C173922" wp14:editId="1C173923">
          <wp:simplePos x="0" y="0"/>
          <wp:positionH relativeFrom="column">
            <wp:posOffset>7620</wp:posOffset>
          </wp:positionH>
          <wp:positionV relativeFrom="paragraph">
            <wp:posOffset>-228600</wp:posOffset>
          </wp:positionV>
          <wp:extent cx="1955165" cy="488315"/>
          <wp:effectExtent l="0" t="0" r="0" b="0"/>
          <wp:wrapTight wrapText="bothSides">
            <wp:wrapPolygon edited="0">
              <wp:start x="-4" y="0"/>
              <wp:lineTo x="-4" y="21055"/>
              <wp:lineTo x="21462" y="21055"/>
              <wp:lineTo x="21462" y="0"/>
              <wp:lineTo x="-4" y="0"/>
            </wp:wrapPolygon>
          </wp:wrapTight>
          <wp:docPr id="6" name="Picture 2">
            <a:extLst xmlns:a="http://schemas.openxmlformats.org/drawingml/2006/main">
              <a:ext uri="{FF2B5EF4-FFF2-40B4-BE49-F238E27FC236}">
                <a16:creationId xmlns:a16="http://schemas.microsoft.com/office/drawing/2014/main" id="{8C7A9DB3-8CBA-46CF-A0CD-7402EFE82B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
                  <a:srcRect l="-10" t="-39" r="-10" b="-39"/>
                  <a:stretch>
                    <a:fillRect/>
                  </a:stretch>
                </pic:blipFill>
                <pic:spPr bwMode="auto">
                  <a:xfrm>
                    <a:off x="0" y="0"/>
                    <a:ext cx="1955165" cy="488315"/>
                  </a:xfrm>
                  <a:prstGeom prst="rect">
                    <a:avLst/>
                  </a:prstGeom>
                </pic:spPr>
              </pic:pic>
            </a:graphicData>
          </a:graphic>
        </wp:anchor>
      </w:drawing>
    </w:r>
    <w:r w:rsidR="000B58B3">
      <w:rPr>
        <w:noProof/>
      </w:rPr>
      <w:drawing>
        <wp:anchor distT="0" distB="0" distL="0" distR="0" simplePos="0" relativeHeight="251658241" behindDoc="1" locked="0" layoutInCell="0" allowOverlap="1" wp14:anchorId="1C173924" wp14:editId="1C173925">
          <wp:simplePos x="0" y="0"/>
          <wp:positionH relativeFrom="page">
            <wp:posOffset>3216275</wp:posOffset>
          </wp:positionH>
          <wp:positionV relativeFrom="paragraph">
            <wp:posOffset>-262890</wp:posOffset>
          </wp:positionV>
          <wp:extent cx="1603375" cy="524510"/>
          <wp:effectExtent l="0" t="0" r="0" b="0"/>
          <wp:wrapNone/>
          <wp:docPr id="7" name="Immagine2">
            <a:extLst xmlns:a="http://schemas.openxmlformats.org/drawingml/2006/main">
              <a:ext uri="{FF2B5EF4-FFF2-40B4-BE49-F238E27FC236}">
                <a16:creationId xmlns:a16="http://schemas.microsoft.com/office/drawing/2014/main" id="{69E7326A-FFDA-4AE5-9B12-96FE5D40D6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2"/>
                  <pic:cNvPicPr>
                    <a:picLocks noChangeAspect="1" noChangeArrowheads="1"/>
                  </pic:cNvPicPr>
                </pic:nvPicPr>
                <pic:blipFill>
                  <a:blip r:embed="rId2"/>
                  <a:srcRect l="7753" t="19010" r="8713" b="20397"/>
                  <a:stretch>
                    <a:fillRect/>
                  </a:stretch>
                </pic:blipFill>
                <pic:spPr bwMode="auto">
                  <a:xfrm>
                    <a:off x="0" y="0"/>
                    <a:ext cx="1603375" cy="524510"/>
                  </a:xfrm>
                  <a:prstGeom prst="rect">
                    <a:avLst/>
                  </a:prstGeom>
                </pic:spPr>
              </pic:pic>
            </a:graphicData>
          </a:graphic>
        </wp:anchor>
      </w:drawing>
    </w:r>
    <w:r w:rsidR="000B58B3">
      <w:rPr>
        <w:noProof/>
      </w:rPr>
      <w:drawing>
        <wp:anchor distT="0" distB="0" distL="114300" distR="114300" simplePos="0" relativeHeight="251658242" behindDoc="1" locked="0" layoutInCell="0" allowOverlap="1" wp14:anchorId="1C173926" wp14:editId="1C173927">
          <wp:simplePos x="0" y="0"/>
          <wp:positionH relativeFrom="column">
            <wp:posOffset>4785360</wp:posOffset>
          </wp:positionH>
          <wp:positionV relativeFrom="paragraph">
            <wp:posOffset>-206375</wp:posOffset>
          </wp:positionV>
          <wp:extent cx="1247775" cy="403860"/>
          <wp:effectExtent l="0" t="0" r="0" b="0"/>
          <wp:wrapSquare wrapText="bothSides"/>
          <wp:docPr id="8" name="Picture 1">
            <a:extLst xmlns:a="http://schemas.openxmlformats.org/drawingml/2006/main">
              <a:ext uri="{FF2B5EF4-FFF2-40B4-BE49-F238E27FC236}">
                <a16:creationId xmlns:a16="http://schemas.microsoft.com/office/drawing/2014/main" id="{D93E0354-5971-4D7D-84C3-92E76F2ACF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3"/>
                  <a:srcRect l="-24" t="-74" r="-24" b="-74"/>
                  <a:stretch>
                    <a:fillRect/>
                  </a:stretch>
                </pic:blipFill>
                <pic:spPr bwMode="auto">
                  <a:xfrm>
                    <a:off x="0" y="0"/>
                    <a:ext cx="1247775" cy="403860"/>
                  </a:xfrm>
                  <a:prstGeom prst="rect">
                    <a:avLst/>
                  </a:prstGeom>
                </pic:spPr>
              </pic:pic>
            </a:graphicData>
          </a:graphic>
        </wp:anchor>
      </w:drawing>
    </w:r>
  </w:p>
  <w:p w14:paraId="1C173916" w14:textId="77777777" w:rsidR="002416C8" w:rsidRDefault="002416C8"/>
  <w:p w14:paraId="1C173917" w14:textId="77777777" w:rsidR="002416C8" w:rsidRDefault="002416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6"/>
    <w:lvl w:ilvl="0">
      <w:start w:val="1"/>
      <w:numFmt w:val="bullet"/>
      <w:lvlText w:val=""/>
      <w:lvlJc w:val="left"/>
      <w:pPr>
        <w:tabs>
          <w:tab w:val="num" w:pos="0"/>
        </w:tabs>
        <w:ind w:left="720" w:hanging="360"/>
      </w:pPr>
      <w:rPr>
        <w:rFonts w:ascii="Symbol" w:hAnsi="Symbol" w:cs="Symbol"/>
        <w:color w:val="000000"/>
        <w:sz w:val="20"/>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A"/>
    <w:multiLevelType w:val="multilevel"/>
    <w:tmpl w:val="0000000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rPr>
        <w:rFonts w:cs="Garamond"/>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15:restartNumberingAfterBreak="0">
    <w:nsid w:val="0000000C"/>
    <w:multiLevelType w:val="multilevel"/>
    <w:tmpl w:val="0000000C"/>
    <w:name w:val="WW8Num15"/>
    <w:lvl w:ilvl="0">
      <w:start w:val="1"/>
      <w:numFmt w:val="decimal"/>
      <w:lvlText w:val="%1."/>
      <w:lvlJc w:val="left"/>
      <w:pPr>
        <w:tabs>
          <w:tab w:val="num" w:pos="0"/>
        </w:tabs>
        <w:ind w:left="360" w:hanging="360"/>
      </w:pPr>
      <w:rPr>
        <w:rFonts w:ascii="Garamond" w:hAnsi="Garamond" w:cs="Garamond"/>
        <w:sz w:val="24"/>
        <w:szCs w:val="24"/>
      </w:rPr>
    </w:lvl>
    <w:lvl w:ilvl="1">
      <w:start w:val="1"/>
      <w:numFmt w:val="lowerLetter"/>
      <w:lvlText w:val="%2)"/>
      <w:lvlJc w:val="left"/>
      <w:pPr>
        <w:tabs>
          <w:tab w:val="num" w:pos="0"/>
        </w:tabs>
        <w:ind w:left="1080" w:hanging="360"/>
      </w:pPr>
      <w:rPr>
        <w:rFonts w:ascii="Garamond" w:hAnsi="Garamond" w:cs="Garamond"/>
        <w:sz w:val="24"/>
        <w:szCs w:val="24"/>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11"/>
    <w:multiLevelType w:val="multilevel"/>
    <w:tmpl w:val="00000011"/>
    <w:name w:val="WW8Num20"/>
    <w:lvl w:ilvl="0">
      <w:start w:val="1"/>
      <w:numFmt w:val="decimal"/>
      <w:lvlText w:val="%1."/>
      <w:lvlJc w:val="left"/>
      <w:pPr>
        <w:tabs>
          <w:tab w:val="num" w:pos="1060"/>
        </w:tabs>
        <w:ind w:left="1060" w:hanging="360"/>
      </w:pPr>
      <w:rPr>
        <w:rFonts w:ascii="Garamond" w:hAnsi="Garamond" w:cs="Garamond"/>
        <w:sz w:val="24"/>
        <w:szCs w:val="24"/>
      </w:rPr>
    </w:lvl>
    <w:lvl w:ilvl="1">
      <w:start w:val="1"/>
      <w:numFmt w:val="decimal"/>
      <w:lvlText w:val="%2."/>
      <w:lvlJc w:val="left"/>
      <w:pPr>
        <w:tabs>
          <w:tab w:val="num" w:pos="1420"/>
        </w:tabs>
        <w:ind w:left="1420" w:hanging="360"/>
      </w:pPr>
    </w:lvl>
    <w:lvl w:ilvl="2">
      <w:start w:val="1"/>
      <w:numFmt w:val="decimal"/>
      <w:lvlText w:val="%3."/>
      <w:lvlJc w:val="left"/>
      <w:pPr>
        <w:tabs>
          <w:tab w:val="num" w:pos="1780"/>
        </w:tabs>
        <w:ind w:left="1780" w:hanging="360"/>
      </w:pPr>
    </w:lvl>
    <w:lvl w:ilvl="3">
      <w:start w:val="1"/>
      <w:numFmt w:val="decimal"/>
      <w:lvlText w:val="%4."/>
      <w:lvlJc w:val="left"/>
      <w:pPr>
        <w:tabs>
          <w:tab w:val="num" w:pos="2140"/>
        </w:tabs>
        <w:ind w:left="2140" w:hanging="360"/>
      </w:pPr>
    </w:lvl>
    <w:lvl w:ilvl="4">
      <w:start w:val="1"/>
      <w:numFmt w:val="decimal"/>
      <w:lvlText w:val="%5."/>
      <w:lvlJc w:val="left"/>
      <w:pPr>
        <w:tabs>
          <w:tab w:val="num" w:pos="2500"/>
        </w:tabs>
        <w:ind w:left="2500" w:hanging="360"/>
      </w:pPr>
    </w:lvl>
    <w:lvl w:ilvl="5">
      <w:start w:val="1"/>
      <w:numFmt w:val="decimal"/>
      <w:lvlText w:val="%6."/>
      <w:lvlJc w:val="left"/>
      <w:pPr>
        <w:tabs>
          <w:tab w:val="num" w:pos="2860"/>
        </w:tabs>
        <w:ind w:left="2860" w:hanging="360"/>
      </w:pPr>
    </w:lvl>
    <w:lvl w:ilvl="6">
      <w:start w:val="1"/>
      <w:numFmt w:val="decimal"/>
      <w:lvlText w:val="%7."/>
      <w:lvlJc w:val="left"/>
      <w:pPr>
        <w:tabs>
          <w:tab w:val="num" w:pos="3220"/>
        </w:tabs>
        <w:ind w:left="3220" w:hanging="360"/>
      </w:pPr>
    </w:lvl>
    <w:lvl w:ilvl="7">
      <w:start w:val="1"/>
      <w:numFmt w:val="decimal"/>
      <w:lvlText w:val="%8."/>
      <w:lvlJc w:val="left"/>
      <w:pPr>
        <w:tabs>
          <w:tab w:val="num" w:pos="3580"/>
        </w:tabs>
        <w:ind w:left="3580" w:hanging="360"/>
      </w:pPr>
    </w:lvl>
    <w:lvl w:ilvl="8">
      <w:start w:val="1"/>
      <w:numFmt w:val="decimal"/>
      <w:lvlText w:val="%9."/>
      <w:lvlJc w:val="left"/>
      <w:pPr>
        <w:tabs>
          <w:tab w:val="num" w:pos="3940"/>
        </w:tabs>
        <w:ind w:left="3940" w:hanging="360"/>
      </w:pPr>
    </w:lvl>
  </w:abstractNum>
  <w:abstractNum w:abstractNumId="4"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3"/>
    <w:multiLevelType w:val="multilevel"/>
    <w:tmpl w:val="00000013"/>
    <w:name w:val="WW8Num22"/>
    <w:lvl w:ilvl="0">
      <w:start w:val="1"/>
      <w:numFmt w:val="bullet"/>
      <w:lvlText w:val=""/>
      <w:lvlJc w:val="left"/>
      <w:pPr>
        <w:tabs>
          <w:tab w:val="num" w:pos="1080"/>
        </w:tabs>
        <w:ind w:left="1080" w:hanging="360"/>
      </w:pPr>
      <w:rPr>
        <w:rFonts w:ascii="Symbol" w:hAnsi="Symbol" w:cs="OpenSymbol"/>
        <w:color w:val="auto"/>
        <w:kern w:val="2"/>
        <w:sz w:val="24"/>
        <w:szCs w:val="24"/>
        <w:lang w:val="it-IT" w:eastAsia="zh-CN" w:bidi="hi-IN"/>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color w:val="auto"/>
        <w:kern w:val="2"/>
        <w:sz w:val="24"/>
        <w:szCs w:val="24"/>
        <w:lang w:val="it-IT" w:eastAsia="zh-CN" w:bidi="hi-IN"/>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color w:val="auto"/>
        <w:kern w:val="2"/>
        <w:sz w:val="24"/>
        <w:szCs w:val="24"/>
        <w:lang w:val="it-IT" w:eastAsia="zh-CN" w:bidi="hi-IN"/>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6" w15:restartNumberingAfterBreak="0">
    <w:nsid w:val="00000014"/>
    <w:multiLevelType w:val="multilevel"/>
    <w:tmpl w:val="00000014"/>
    <w:name w:val="WW8Num23"/>
    <w:lvl w:ilvl="0">
      <w:start w:val="1"/>
      <w:numFmt w:val="decimal"/>
      <w:lvlText w:val="%1."/>
      <w:lvlJc w:val="left"/>
      <w:pPr>
        <w:tabs>
          <w:tab w:val="num" w:pos="720"/>
        </w:tabs>
        <w:ind w:left="720" w:hanging="360"/>
      </w:pPr>
      <w:rPr>
        <w:rFonts w:ascii="Garamond" w:hAnsi="Garamond" w:cs="Garamond"/>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5"/>
    <w:multiLevelType w:val="multilevel"/>
    <w:tmpl w:val="00000015"/>
    <w:name w:val="WW8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16"/>
    <w:multiLevelType w:val="multilevel"/>
    <w:tmpl w:val="00000016"/>
    <w:name w:val="WW8Num25"/>
    <w:lvl w:ilvl="0">
      <w:start w:val="1"/>
      <w:numFmt w:val="decimal"/>
      <w:lvlText w:val="%1."/>
      <w:lvlJc w:val="left"/>
      <w:pPr>
        <w:tabs>
          <w:tab w:val="num" w:pos="777"/>
        </w:tabs>
        <w:ind w:left="777" w:hanging="360"/>
      </w:pPr>
      <w:rPr>
        <w:rFonts w:ascii="Garamond" w:hAnsi="Garamond" w:cs="Garamond"/>
        <w:sz w:val="24"/>
        <w:szCs w:val="24"/>
      </w:r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9" w15:restartNumberingAfterBreak="0">
    <w:nsid w:val="00000017"/>
    <w:multiLevelType w:val="multilevel"/>
    <w:tmpl w:val="00000017"/>
    <w:name w:val="WW8Num26"/>
    <w:lvl w:ilvl="0">
      <w:start w:val="1"/>
      <w:numFmt w:val="decimal"/>
      <w:lvlText w:val="%1."/>
      <w:lvlJc w:val="left"/>
      <w:pPr>
        <w:tabs>
          <w:tab w:val="num" w:pos="720"/>
        </w:tabs>
        <w:ind w:left="720" w:hanging="360"/>
      </w:pPr>
      <w:rPr>
        <w:rFonts w:ascii="Garamond" w:eastAsia="NSimSun" w:hAnsi="Garamond" w:cs="Garamond"/>
        <w:color w:val="000000"/>
        <w:kern w:val="2"/>
        <w:sz w:val="24"/>
        <w:szCs w:val="24"/>
        <w:lang w:val="it-IT"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15B03493"/>
    <w:multiLevelType w:val="hybridMultilevel"/>
    <w:tmpl w:val="B158FBA0"/>
    <w:lvl w:ilvl="0" w:tplc="B1B02182">
      <w:start w:val="1"/>
      <w:numFmt w:val="decimal"/>
      <w:lvlText w:val="%1."/>
      <w:lvlJc w:val="left"/>
      <w:pPr>
        <w:ind w:left="360" w:hanging="360"/>
      </w:pPr>
      <w:rPr>
        <w:rFonts w:ascii="Times New Roman" w:eastAsia="SimSun" w:hAnsi="Times New Roman" w:cs="Times New Roman" w:hint="default"/>
        <w:sz w:val="24"/>
        <w:szCs w:val="24"/>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2" w15:restartNumberingAfterBreak="0">
    <w:nsid w:val="16AB474A"/>
    <w:multiLevelType w:val="multilevel"/>
    <w:tmpl w:val="5C00CB00"/>
    <w:lvl w:ilvl="0">
      <w:start w:val="1"/>
      <w:numFmt w:val="decimal"/>
      <w:lvlText w:val="%1."/>
      <w:lvlJc w:val="left"/>
      <w:pPr>
        <w:tabs>
          <w:tab w:val="num" w:pos="0"/>
        </w:tabs>
        <w:ind w:left="424" w:hanging="360"/>
      </w:pPr>
      <w:rPr>
        <w:rFonts w:ascii="Garamond" w:eastAsia="Garamond" w:hAnsi="Garamond" w:cs="Garamond"/>
        <w:b w:val="0"/>
        <w:bCs w:val="0"/>
        <w:color w:val="000000"/>
        <w:sz w:val="24"/>
        <w:lang w:val="it-IT"/>
      </w:rPr>
    </w:lvl>
    <w:lvl w:ilvl="1">
      <w:start w:val="1"/>
      <w:numFmt w:val="lowerLetter"/>
      <w:lvlText w:val="%2)"/>
      <w:lvlJc w:val="left"/>
      <w:pPr>
        <w:tabs>
          <w:tab w:val="num" w:pos="0"/>
        </w:tabs>
        <w:ind w:left="1144" w:hanging="360"/>
      </w:pPr>
      <w:rPr>
        <w:rFonts w:ascii="Garamond" w:hAnsi="Garamond" w:cs="Garamond"/>
        <w:b w:val="0"/>
        <w:bCs w:val="0"/>
        <w:lang w:val="it-IT"/>
      </w:rPr>
    </w:lvl>
    <w:lvl w:ilvl="2">
      <w:start w:val="1"/>
      <w:numFmt w:val="lowerRoman"/>
      <w:lvlText w:val="%2.%3."/>
      <w:lvlJc w:val="right"/>
      <w:pPr>
        <w:tabs>
          <w:tab w:val="num" w:pos="0"/>
        </w:tabs>
        <w:ind w:left="1864" w:hanging="180"/>
      </w:pPr>
    </w:lvl>
    <w:lvl w:ilvl="3">
      <w:start w:val="1"/>
      <w:numFmt w:val="decimal"/>
      <w:lvlText w:val="%2.%3.%4."/>
      <w:lvlJc w:val="left"/>
      <w:pPr>
        <w:tabs>
          <w:tab w:val="num" w:pos="0"/>
        </w:tabs>
        <w:ind w:left="2584" w:hanging="360"/>
      </w:pPr>
    </w:lvl>
    <w:lvl w:ilvl="4">
      <w:start w:val="1"/>
      <w:numFmt w:val="lowerLetter"/>
      <w:lvlText w:val="%2.%3.%4.%5."/>
      <w:lvlJc w:val="left"/>
      <w:pPr>
        <w:tabs>
          <w:tab w:val="num" w:pos="0"/>
        </w:tabs>
        <w:ind w:left="3304" w:hanging="360"/>
      </w:pPr>
    </w:lvl>
    <w:lvl w:ilvl="5">
      <w:start w:val="1"/>
      <w:numFmt w:val="lowerRoman"/>
      <w:lvlText w:val="%2.%3.%4.%5.%6."/>
      <w:lvlJc w:val="right"/>
      <w:pPr>
        <w:tabs>
          <w:tab w:val="num" w:pos="0"/>
        </w:tabs>
        <w:ind w:left="4024" w:hanging="180"/>
      </w:pPr>
    </w:lvl>
    <w:lvl w:ilvl="6">
      <w:start w:val="1"/>
      <w:numFmt w:val="decimal"/>
      <w:lvlText w:val="%2.%3.%4.%5.%6.%7."/>
      <w:lvlJc w:val="left"/>
      <w:pPr>
        <w:tabs>
          <w:tab w:val="num" w:pos="0"/>
        </w:tabs>
        <w:ind w:left="4744" w:hanging="360"/>
      </w:pPr>
    </w:lvl>
    <w:lvl w:ilvl="7">
      <w:start w:val="1"/>
      <w:numFmt w:val="lowerLetter"/>
      <w:lvlText w:val="%2.%3.%4.%5.%6.%7.%8."/>
      <w:lvlJc w:val="left"/>
      <w:pPr>
        <w:tabs>
          <w:tab w:val="num" w:pos="0"/>
        </w:tabs>
        <w:ind w:left="5464" w:hanging="360"/>
      </w:pPr>
    </w:lvl>
    <w:lvl w:ilvl="8">
      <w:start w:val="1"/>
      <w:numFmt w:val="lowerRoman"/>
      <w:lvlText w:val="%2.%3.%4.%5.%6.%7.%8.%9."/>
      <w:lvlJc w:val="right"/>
      <w:pPr>
        <w:tabs>
          <w:tab w:val="num" w:pos="0"/>
        </w:tabs>
        <w:ind w:left="6184" w:hanging="180"/>
      </w:pPr>
    </w:lvl>
  </w:abstractNum>
  <w:abstractNum w:abstractNumId="13" w15:restartNumberingAfterBreak="0">
    <w:nsid w:val="18B518FA"/>
    <w:multiLevelType w:val="multilevel"/>
    <w:tmpl w:val="CE80C010"/>
    <w:lvl w:ilvl="0">
      <w:start w:val="1"/>
      <w:numFmt w:val="lowerLetter"/>
      <w:lvlText w:val="%1)"/>
      <w:lvlJc w:val="left"/>
      <w:pPr>
        <w:tabs>
          <w:tab w:val="num" w:pos="654"/>
        </w:tabs>
        <w:ind w:left="1080" w:hanging="360"/>
      </w:pPr>
    </w:lvl>
    <w:lvl w:ilvl="1">
      <w:start w:val="1"/>
      <w:numFmt w:val="lowerLetter"/>
      <w:lvlText w:val="%2)"/>
      <w:lvlJc w:val="left"/>
      <w:pPr>
        <w:tabs>
          <w:tab w:val="num" w:pos="654"/>
        </w:tabs>
        <w:ind w:left="2094" w:hanging="360"/>
      </w:pPr>
      <w:rPr>
        <w:b w:val="0"/>
        <w:bCs w:val="0"/>
        <w:lang w:val="en-US"/>
      </w:rPr>
    </w:lvl>
    <w:lvl w:ilvl="2">
      <w:start w:val="1"/>
      <w:numFmt w:val="lowerRoman"/>
      <w:lvlText w:val="%2.%3."/>
      <w:lvlJc w:val="right"/>
      <w:pPr>
        <w:tabs>
          <w:tab w:val="num" w:pos="654"/>
        </w:tabs>
        <w:ind w:left="2520" w:hanging="180"/>
      </w:pPr>
    </w:lvl>
    <w:lvl w:ilvl="3">
      <w:start w:val="1"/>
      <w:numFmt w:val="decimal"/>
      <w:lvlText w:val="%2.%3.%4."/>
      <w:lvlJc w:val="left"/>
      <w:pPr>
        <w:tabs>
          <w:tab w:val="num" w:pos="654"/>
        </w:tabs>
        <w:ind w:left="3240" w:hanging="360"/>
      </w:pPr>
    </w:lvl>
    <w:lvl w:ilvl="4">
      <w:start w:val="1"/>
      <w:numFmt w:val="lowerLetter"/>
      <w:lvlText w:val="%2.%3.%4.%5."/>
      <w:lvlJc w:val="left"/>
      <w:pPr>
        <w:tabs>
          <w:tab w:val="num" w:pos="654"/>
        </w:tabs>
        <w:ind w:left="3960" w:hanging="360"/>
      </w:pPr>
    </w:lvl>
    <w:lvl w:ilvl="5">
      <w:start w:val="1"/>
      <w:numFmt w:val="lowerRoman"/>
      <w:lvlText w:val="%2.%3.%4.%5.%6."/>
      <w:lvlJc w:val="right"/>
      <w:pPr>
        <w:tabs>
          <w:tab w:val="num" w:pos="654"/>
        </w:tabs>
        <w:ind w:left="4680" w:hanging="180"/>
      </w:pPr>
    </w:lvl>
    <w:lvl w:ilvl="6">
      <w:start w:val="1"/>
      <w:numFmt w:val="decimal"/>
      <w:lvlText w:val="%2.%3.%4.%5.%6.%7."/>
      <w:lvlJc w:val="left"/>
      <w:pPr>
        <w:tabs>
          <w:tab w:val="num" w:pos="654"/>
        </w:tabs>
        <w:ind w:left="5400" w:hanging="360"/>
      </w:pPr>
    </w:lvl>
    <w:lvl w:ilvl="7">
      <w:start w:val="1"/>
      <w:numFmt w:val="lowerLetter"/>
      <w:lvlText w:val="%2.%3.%4.%5.%6.%7.%8."/>
      <w:lvlJc w:val="left"/>
      <w:pPr>
        <w:tabs>
          <w:tab w:val="num" w:pos="654"/>
        </w:tabs>
        <w:ind w:left="6120" w:hanging="360"/>
      </w:pPr>
    </w:lvl>
    <w:lvl w:ilvl="8">
      <w:start w:val="1"/>
      <w:numFmt w:val="lowerRoman"/>
      <w:lvlText w:val="%2.%3.%4.%5.%6.%7.%8.%9."/>
      <w:lvlJc w:val="right"/>
      <w:pPr>
        <w:tabs>
          <w:tab w:val="num" w:pos="654"/>
        </w:tabs>
        <w:ind w:left="6840" w:hanging="180"/>
      </w:pPr>
    </w:lvl>
  </w:abstractNum>
  <w:abstractNum w:abstractNumId="14" w15:restartNumberingAfterBreak="0">
    <w:nsid w:val="1BEF6897"/>
    <w:multiLevelType w:val="multilevel"/>
    <w:tmpl w:val="C8F88B30"/>
    <w:lvl w:ilvl="0">
      <w:start w:val="1"/>
      <w:numFmt w:val="decimal"/>
      <w:lvlText w:val="%1."/>
      <w:lvlJc w:val="left"/>
      <w:pPr>
        <w:tabs>
          <w:tab w:val="num" w:pos="0"/>
        </w:tabs>
        <w:ind w:left="360" w:hanging="360"/>
      </w:pPr>
      <w:rPr>
        <w:rFonts w:cs="Garamond"/>
        <w:b w:val="0"/>
        <w:bCs w:val="0"/>
        <w:sz w:val="24"/>
        <w:szCs w:val="24"/>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360" w:hanging="180"/>
      </w:pPr>
    </w:lvl>
    <w:lvl w:ilvl="3">
      <w:start w:val="1"/>
      <w:numFmt w:val="decimal"/>
      <w:lvlText w:val="%2.%3.%4."/>
      <w:lvlJc w:val="left"/>
      <w:pPr>
        <w:tabs>
          <w:tab w:val="num" w:pos="0"/>
        </w:tabs>
        <w:ind w:left="360" w:hanging="360"/>
      </w:pPr>
    </w:lvl>
    <w:lvl w:ilvl="4">
      <w:start w:val="1"/>
      <w:numFmt w:val="lowerLetter"/>
      <w:lvlText w:val="%2.%3.%4.%5."/>
      <w:lvlJc w:val="left"/>
      <w:pPr>
        <w:tabs>
          <w:tab w:val="num" w:pos="0"/>
        </w:tabs>
        <w:ind w:left="1080" w:hanging="360"/>
      </w:pPr>
    </w:lvl>
    <w:lvl w:ilvl="5">
      <w:start w:val="1"/>
      <w:numFmt w:val="lowerRoman"/>
      <w:lvlText w:val="%2.%3.%4.%5.%6."/>
      <w:lvlJc w:val="right"/>
      <w:pPr>
        <w:tabs>
          <w:tab w:val="num" w:pos="0"/>
        </w:tabs>
        <w:ind w:left="1800" w:hanging="18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960" w:hanging="180"/>
      </w:pPr>
    </w:lvl>
  </w:abstractNum>
  <w:abstractNum w:abstractNumId="15" w15:restartNumberingAfterBreak="0">
    <w:nsid w:val="1C3D033C"/>
    <w:multiLevelType w:val="multilevel"/>
    <w:tmpl w:val="8384F9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1823E2E"/>
    <w:multiLevelType w:val="hybridMultilevel"/>
    <w:tmpl w:val="5004F9A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27C27B27"/>
    <w:multiLevelType w:val="multilevel"/>
    <w:tmpl w:val="90741C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8" w15:restartNumberingAfterBreak="0">
    <w:nsid w:val="2B034924"/>
    <w:multiLevelType w:val="hybridMultilevel"/>
    <w:tmpl w:val="5BAA1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582896"/>
    <w:multiLevelType w:val="multilevel"/>
    <w:tmpl w:val="62FA6B76"/>
    <w:lvl w:ilvl="0">
      <w:start w:val="1"/>
      <w:numFmt w:val="bullet"/>
      <w:lvlText w:val=""/>
      <w:lvlJc w:val="left"/>
      <w:pPr>
        <w:tabs>
          <w:tab w:val="num" w:pos="0"/>
        </w:tabs>
        <w:ind w:left="720" w:hanging="360"/>
      </w:pPr>
      <w:rPr>
        <w:rFonts w:ascii="Symbol" w:hAnsi="Symbol" w:cs="Symbol" w:hint="default"/>
        <w:color w:val="000000"/>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000000"/>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000000"/>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28B4175"/>
    <w:multiLevelType w:val="multilevel"/>
    <w:tmpl w:val="D874858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rPr>
        <w:rFonts w:cs="Garamond"/>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1" w15:restartNumberingAfterBreak="0">
    <w:nsid w:val="35652E81"/>
    <w:multiLevelType w:val="multilevel"/>
    <w:tmpl w:val="9198D6BE"/>
    <w:lvl w:ilvl="0">
      <w:start w:val="1"/>
      <w:numFmt w:val="bullet"/>
      <w:lvlText w:val=""/>
      <w:lvlJc w:val="left"/>
      <w:pPr>
        <w:tabs>
          <w:tab w:val="num" w:pos="360"/>
        </w:tabs>
        <w:ind w:left="720" w:hanging="360"/>
      </w:pPr>
      <w:rPr>
        <w:rFonts w:ascii="Symbol" w:hAnsi="Symbol" w:hint="default"/>
        <w:i w:val="0"/>
        <w:iCs w:val="0"/>
        <w:sz w:val="20"/>
      </w:rPr>
    </w:lvl>
    <w:lvl w:ilvl="1">
      <w:start w:val="1"/>
      <w:numFmt w:val="lowerLetter"/>
      <w:lvlText w:val="%2."/>
      <w:lvlJc w:val="left"/>
      <w:pPr>
        <w:tabs>
          <w:tab w:val="num" w:pos="360"/>
        </w:tabs>
        <w:ind w:left="1440" w:hanging="360"/>
      </w:pPr>
      <w:rPr>
        <w:i w:val="0"/>
        <w:iCs w:val="0"/>
      </w:rPr>
    </w:lvl>
    <w:lvl w:ilvl="2">
      <w:start w:val="1"/>
      <w:numFmt w:val="lowerRoman"/>
      <w:lvlText w:val="%2.%3."/>
      <w:lvlJc w:val="right"/>
      <w:pPr>
        <w:tabs>
          <w:tab w:val="num" w:pos="360"/>
        </w:tabs>
        <w:ind w:left="2160" w:hanging="180"/>
      </w:pPr>
    </w:lvl>
    <w:lvl w:ilvl="3">
      <w:start w:val="1"/>
      <w:numFmt w:val="decimal"/>
      <w:lvlText w:val="%2.%3.%4."/>
      <w:lvlJc w:val="left"/>
      <w:pPr>
        <w:tabs>
          <w:tab w:val="num" w:pos="360"/>
        </w:tabs>
        <w:ind w:left="2880" w:hanging="360"/>
      </w:pPr>
    </w:lvl>
    <w:lvl w:ilvl="4">
      <w:start w:val="1"/>
      <w:numFmt w:val="lowerLetter"/>
      <w:lvlText w:val="%2.%3.%4.%5."/>
      <w:lvlJc w:val="left"/>
      <w:pPr>
        <w:tabs>
          <w:tab w:val="num" w:pos="360"/>
        </w:tabs>
        <w:ind w:left="3600" w:hanging="360"/>
      </w:pPr>
    </w:lvl>
    <w:lvl w:ilvl="5">
      <w:start w:val="1"/>
      <w:numFmt w:val="lowerRoman"/>
      <w:lvlText w:val="%2.%3.%4.%5.%6."/>
      <w:lvlJc w:val="right"/>
      <w:pPr>
        <w:tabs>
          <w:tab w:val="num" w:pos="360"/>
        </w:tabs>
        <w:ind w:left="4320" w:hanging="180"/>
      </w:pPr>
    </w:lvl>
    <w:lvl w:ilvl="6">
      <w:start w:val="1"/>
      <w:numFmt w:val="decimal"/>
      <w:lvlText w:val="%2.%3.%4.%5.%6.%7."/>
      <w:lvlJc w:val="left"/>
      <w:pPr>
        <w:tabs>
          <w:tab w:val="num" w:pos="360"/>
        </w:tabs>
        <w:ind w:left="5040" w:hanging="360"/>
      </w:pPr>
    </w:lvl>
    <w:lvl w:ilvl="7">
      <w:start w:val="1"/>
      <w:numFmt w:val="lowerLetter"/>
      <w:lvlText w:val="%2.%3.%4.%5.%6.%7.%8."/>
      <w:lvlJc w:val="left"/>
      <w:pPr>
        <w:tabs>
          <w:tab w:val="num" w:pos="360"/>
        </w:tabs>
        <w:ind w:left="5760" w:hanging="360"/>
      </w:pPr>
    </w:lvl>
    <w:lvl w:ilvl="8">
      <w:start w:val="1"/>
      <w:numFmt w:val="lowerRoman"/>
      <w:lvlText w:val="%2.%3.%4.%5.%6.%7.%8.%9."/>
      <w:lvlJc w:val="right"/>
      <w:pPr>
        <w:tabs>
          <w:tab w:val="num" w:pos="360"/>
        </w:tabs>
        <w:ind w:left="6480" w:hanging="180"/>
      </w:pPr>
    </w:lvl>
  </w:abstractNum>
  <w:abstractNum w:abstractNumId="22" w15:restartNumberingAfterBreak="0">
    <w:nsid w:val="37502915"/>
    <w:multiLevelType w:val="multilevel"/>
    <w:tmpl w:val="7AFECBA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rPr>
        <w:rFonts w:cs="Garamond"/>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3" w15:restartNumberingAfterBreak="0">
    <w:nsid w:val="385E2C41"/>
    <w:multiLevelType w:val="hybridMultilevel"/>
    <w:tmpl w:val="2B9C4F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9A53984"/>
    <w:multiLevelType w:val="multilevel"/>
    <w:tmpl w:val="836681C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rPr>
        <w:rFonts w:cs="Garamond"/>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5" w15:restartNumberingAfterBreak="0">
    <w:nsid w:val="3D4008E6"/>
    <w:multiLevelType w:val="hybridMultilevel"/>
    <w:tmpl w:val="97F04D8E"/>
    <w:lvl w:ilvl="0" w:tplc="0410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F8468E4"/>
    <w:multiLevelType w:val="multilevel"/>
    <w:tmpl w:val="A3B4B83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7" w15:restartNumberingAfterBreak="0">
    <w:nsid w:val="41DD7B93"/>
    <w:multiLevelType w:val="multilevel"/>
    <w:tmpl w:val="0EE48214"/>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422C5514"/>
    <w:multiLevelType w:val="multilevel"/>
    <w:tmpl w:val="4BCC2F08"/>
    <w:lvl w:ilvl="0">
      <w:start w:val="1"/>
      <w:numFmt w:val="decimal"/>
      <w:lvlText w:val="%1."/>
      <w:lvlJc w:val="left"/>
      <w:pPr>
        <w:tabs>
          <w:tab w:val="num" w:pos="0"/>
        </w:tabs>
        <w:ind w:left="360" w:hanging="360"/>
      </w:pPr>
      <w:rPr>
        <w:lang w:val="en-US"/>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9" w15:restartNumberingAfterBreak="0">
    <w:nsid w:val="475B25E5"/>
    <w:multiLevelType w:val="multilevel"/>
    <w:tmpl w:val="EC922992"/>
    <w:lvl w:ilvl="0">
      <w:start w:val="1"/>
      <w:numFmt w:val="decimal"/>
      <w:lvlText w:val="%1."/>
      <w:lvlJc w:val="left"/>
      <w:pPr>
        <w:tabs>
          <w:tab w:val="num" w:pos="0"/>
        </w:tabs>
        <w:ind w:left="360" w:hanging="360"/>
      </w:pPr>
      <w:rPr>
        <w:lang w:val="en-US"/>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0" w15:restartNumberingAfterBreak="0">
    <w:nsid w:val="494D4CBF"/>
    <w:multiLevelType w:val="multilevel"/>
    <w:tmpl w:val="265864A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360" w:hanging="180"/>
      </w:pPr>
    </w:lvl>
    <w:lvl w:ilvl="3">
      <w:start w:val="1"/>
      <w:numFmt w:val="decimal"/>
      <w:lvlText w:val="%2.%3.%4."/>
      <w:lvlJc w:val="left"/>
      <w:pPr>
        <w:tabs>
          <w:tab w:val="num" w:pos="0"/>
        </w:tabs>
        <w:ind w:left="360" w:hanging="360"/>
      </w:pPr>
    </w:lvl>
    <w:lvl w:ilvl="4">
      <w:start w:val="1"/>
      <w:numFmt w:val="lowerLetter"/>
      <w:lvlText w:val="%2.%3.%4.%5."/>
      <w:lvlJc w:val="left"/>
      <w:pPr>
        <w:tabs>
          <w:tab w:val="num" w:pos="0"/>
        </w:tabs>
        <w:ind w:left="1080" w:hanging="360"/>
      </w:pPr>
    </w:lvl>
    <w:lvl w:ilvl="5">
      <w:start w:val="1"/>
      <w:numFmt w:val="lowerRoman"/>
      <w:lvlText w:val="%2.%3.%4.%5.%6."/>
      <w:lvlJc w:val="right"/>
      <w:pPr>
        <w:tabs>
          <w:tab w:val="num" w:pos="0"/>
        </w:tabs>
        <w:ind w:left="1800" w:hanging="18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960" w:hanging="180"/>
      </w:pPr>
    </w:lvl>
  </w:abstractNum>
  <w:abstractNum w:abstractNumId="31" w15:restartNumberingAfterBreak="0">
    <w:nsid w:val="4C233045"/>
    <w:multiLevelType w:val="multilevel"/>
    <w:tmpl w:val="F18076E8"/>
    <w:lvl w:ilvl="0">
      <w:start w:val="1"/>
      <w:numFmt w:val="lowerLetter"/>
      <w:lvlText w:val="%1)"/>
      <w:lvlJc w:val="left"/>
      <w:pPr>
        <w:tabs>
          <w:tab w:val="num" w:pos="1502"/>
        </w:tabs>
        <w:ind w:left="1502" w:hanging="397"/>
      </w:pPr>
      <w:rPr>
        <w:rFonts w:ascii="Garamond" w:eastAsia="SimSun" w:hAnsi="Garamond" w:cs="Garamond"/>
        <w:lang w:val="it-IT"/>
      </w:rPr>
    </w:lvl>
    <w:lvl w:ilvl="1">
      <w:start w:val="1"/>
      <w:numFmt w:val="lowerLetter"/>
      <w:lvlText w:val="%2."/>
      <w:lvlJc w:val="left"/>
      <w:pPr>
        <w:tabs>
          <w:tab w:val="num" w:pos="1899"/>
        </w:tabs>
        <w:ind w:left="1899" w:hanging="397"/>
      </w:pPr>
    </w:lvl>
    <w:lvl w:ilvl="2">
      <w:start w:val="1"/>
      <w:numFmt w:val="lowerLetter"/>
      <w:lvlText w:val="%3."/>
      <w:lvlJc w:val="left"/>
      <w:pPr>
        <w:tabs>
          <w:tab w:val="num" w:pos="2296"/>
        </w:tabs>
        <w:ind w:left="2296" w:hanging="397"/>
      </w:pPr>
    </w:lvl>
    <w:lvl w:ilvl="3">
      <w:start w:val="1"/>
      <w:numFmt w:val="lowerLetter"/>
      <w:lvlText w:val="%4."/>
      <w:lvlJc w:val="left"/>
      <w:pPr>
        <w:tabs>
          <w:tab w:val="num" w:pos="2693"/>
        </w:tabs>
        <w:ind w:left="2693" w:hanging="397"/>
      </w:pPr>
    </w:lvl>
    <w:lvl w:ilvl="4">
      <w:start w:val="1"/>
      <w:numFmt w:val="lowerLetter"/>
      <w:lvlText w:val="%5."/>
      <w:lvlJc w:val="left"/>
      <w:pPr>
        <w:tabs>
          <w:tab w:val="num" w:pos="3090"/>
        </w:tabs>
        <w:ind w:left="3090" w:hanging="397"/>
      </w:pPr>
    </w:lvl>
    <w:lvl w:ilvl="5">
      <w:start w:val="1"/>
      <w:numFmt w:val="lowerLetter"/>
      <w:lvlText w:val="%6."/>
      <w:lvlJc w:val="left"/>
      <w:pPr>
        <w:tabs>
          <w:tab w:val="num" w:pos="3487"/>
        </w:tabs>
        <w:ind w:left="3487" w:hanging="397"/>
      </w:pPr>
    </w:lvl>
    <w:lvl w:ilvl="6">
      <w:start w:val="1"/>
      <w:numFmt w:val="lowerLetter"/>
      <w:lvlText w:val="%7."/>
      <w:lvlJc w:val="left"/>
      <w:pPr>
        <w:tabs>
          <w:tab w:val="num" w:pos="3884"/>
        </w:tabs>
        <w:ind w:left="3884" w:hanging="397"/>
      </w:pPr>
    </w:lvl>
    <w:lvl w:ilvl="7">
      <w:start w:val="1"/>
      <w:numFmt w:val="lowerLetter"/>
      <w:lvlText w:val="%8."/>
      <w:lvlJc w:val="left"/>
      <w:pPr>
        <w:tabs>
          <w:tab w:val="num" w:pos="4281"/>
        </w:tabs>
        <w:ind w:left="4281" w:hanging="397"/>
      </w:pPr>
    </w:lvl>
    <w:lvl w:ilvl="8">
      <w:start w:val="1"/>
      <w:numFmt w:val="lowerLetter"/>
      <w:lvlText w:val="%9."/>
      <w:lvlJc w:val="left"/>
      <w:pPr>
        <w:tabs>
          <w:tab w:val="num" w:pos="4678"/>
        </w:tabs>
        <w:ind w:left="4678" w:hanging="397"/>
      </w:pPr>
    </w:lvl>
  </w:abstractNum>
  <w:abstractNum w:abstractNumId="32" w15:restartNumberingAfterBreak="0">
    <w:nsid w:val="519A5468"/>
    <w:multiLevelType w:val="multilevel"/>
    <w:tmpl w:val="E61C7ED2"/>
    <w:lvl w:ilvl="0">
      <w:start w:val="1"/>
      <w:numFmt w:val="decimal"/>
      <w:lvlText w:val="%1."/>
      <w:lvlJc w:val="left"/>
      <w:pPr>
        <w:tabs>
          <w:tab w:val="num" w:pos="0"/>
        </w:tabs>
        <w:ind w:left="360" w:hanging="360"/>
      </w:pPr>
      <w:rPr>
        <w:rFonts w:ascii="Times New Roman" w:eastAsia="SimSu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3" w15:restartNumberingAfterBreak="0">
    <w:nsid w:val="571C254B"/>
    <w:multiLevelType w:val="hybridMultilevel"/>
    <w:tmpl w:val="8D603904"/>
    <w:lvl w:ilvl="0" w:tplc="B79EB2EC">
      <w:start w:val="1"/>
      <w:numFmt w:val="decimal"/>
      <w:lvlText w:val="%1."/>
      <w:lvlJc w:val="left"/>
      <w:pPr>
        <w:ind w:left="424" w:hanging="360"/>
      </w:pPr>
      <w:rPr>
        <w:rFonts w:hint="default"/>
      </w:rPr>
    </w:lvl>
    <w:lvl w:ilvl="1" w:tplc="04100019" w:tentative="1">
      <w:start w:val="1"/>
      <w:numFmt w:val="lowerLetter"/>
      <w:lvlText w:val="%2."/>
      <w:lvlJc w:val="left"/>
      <w:pPr>
        <w:ind w:left="1144" w:hanging="360"/>
      </w:pPr>
    </w:lvl>
    <w:lvl w:ilvl="2" w:tplc="0410001B" w:tentative="1">
      <w:start w:val="1"/>
      <w:numFmt w:val="lowerRoman"/>
      <w:lvlText w:val="%3."/>
      <w:lvlJc w:val="right"/>
      <w:pPr>
        <w:ind w:left="1864" w:hanging="180"/>
      </w:pPr>
    </w:lvl>
    <w:lvl w:ilvl="3" w:tplc="0410000F" w:tentative="1">
      <w:start w:val="1"/>
      <w:numFmt w:val="decimal"/>
      <w:lvlText w:val="%4."/>
      <w:lvlJc w:val="left"/>
      <w:pPr>
        <w:ind w:left="2584" w:hanging="360"/>
      </w:pPr>
    </w:lvl>
    <w:lvl w:ilvl="4" w:tplc="04100019" w:tentative="1">
      <w:start w:val="1"/>
      <w:numFmt w:val="lowerLetter"/>
      <w:lvlText w:val="%5."/>
      <w:lvlJc w:val="left"/>
      <w:pPr>
        <w:ind w:left="3304" w:hanging="360"/>
      </w:pPr>
    </w:lvl>
    <w:lvl w:ilvl="5" w:tplc="0410001B" w:tentative="1">
      <w:start w:val="1"/>
      <w:numFmt w:val="lowerRoman"/>
      <w:lvlText w:val="%6."/>
      <w:lvlJc w:val="right"/>
      <w:pPr>
        <w:ind w:left="4024" w:hanging="180"/>
      </w:pPr>
    </w:lvl>
    <w:lvl w:ilvl="6" w:tplc="0410000F" w:tentative="1">
      <w:start w:val="1"/>
      <w:numFmt w:val="decimal"/>
      <w:lvlText w:val="%7."/>
      <w:lvlJc w:val="left"/>
      <w:pPr>
        <w:ind w:left="4744" w:hanging="360"/>
      </w:pPr>
    </w:lvl>
    <w:lvl w:ilvl="7" w:tplc="04100019" w:tentative="1">
      <w:start w:val="1"/>
      <w:numFmt w:val="lowerLetter"/>
      <w:lvlText w:val="%8."/>
      <w:lvlJc w:val="left"/>
      <w:pPr>
        <w:ind w:left="5464" w:hanging="360"/>
      </w:pPr>
    </w:lvl>
    <w:lvl w:ilvl="8" w:tplc="0410001B" w:tentative="1">
      <w:start w:val="1"/>
      <w:numFmt w:val="lowerRoman"/>
      <w:lvlText w:val="%9."/>
      <w:lvlJc w:val="right"/>
      <w:pPr>
        <w:ind w:left="6184" w:hanging="180"/>
      </w:pPr>
    </w:lvl>
  </w:abstractNum>
  <w:abstractNum w:abstractNumId="34" w15:restartNumberingAfterBreak="0">
    <w:nsid w:val="607D63F9"/>
    <w:multiLevelType w:val="multilevel"/>
    <w:tmpl w:val="0A12934E"/>
    <w:lvl w:ilvl="0">
      <w:start w:val="1"/>
      <w:numFmt w:val="decimal"/>
      <w:lvlText w:val="%1."/>
      <w:lvlJc w:val="left"/>
      <w:pPr>
        <w:tabs>
          <w:tab w:val="num" w:pos="0"/>
        </w:tabs>
        <w:ind w:left="360" w:hanging="360"/>
      </w:pPr>
      <w:rPr>
        <w:rFonts w:ascii="Times New Roman" w:eastAsia="SimSun" w:hAnsi="Times New Roman" w:cs="Times New Roman"/>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5" w15:restartNumberingAfterBreak="0">
    <w:nsid w:val="623E3981"/>
    <w:multiLevelType w:val="multilevel"/>
    <w:tmpl w:val="9AFE7D8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6" w15:restartNumberingAfterBreak="0">
    <w:nsid w:val="664231D0"/>
    <w:multiLevelType w:val="multilevel"/>
    <w:tmpl w:val="7BE22D7E"/>
    <w:lvl w:ilvl="0">
      <w:start w:val="1"/>
      <w:numFmt w:val="bullet"/>
      <w:lvlText w:val=""/>
      <w:lvlJc w:val="left"/>
      <w:pPr>
        <w:tabs>
          <w:tab w:val="num" w:pos="0"/>
        </w:tabs>
        <w:ind w:left="720" w:hanging="360"/>
      </w:pPr>
      <w:rPr>
        <w:rFonts w:ascii="Symbol" w:hAnsi="Symbol" w:cs="Symbol" w:hint="default"/>
        <w:color w:val="000000"/>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000000"/>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000000"/>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AAE74DC"/>
    <w:multiLevelType w:val="multilevel"/>
    <w:tmpl w:val="47F6F64C"/>
    <w:lvl w:ilvl="0">
      <w:start w:val="1"/>
      <w:numFmt w:val="lowerLetter"/>
      <w:lvlText w:val="%1)"/>
      <w:lvlJc w:val="left"/>
      <w:pPr>
        <w:tabs>
          <w:tab w:val="num" w:pos="360"/>
        </w:tabs>
        <w:ind w:left="720" w:hanging="360"/>
      </w:pPr>
      <w:rPr>
        <w:rFonts w:hint="default"/>
        <w:i w:val="0"/>
        <w:iCs w:val="0"/>
        <w:sz w:val="20"/>
      </w:rPr>
    </w:lvl>
    <w:lvl w:ilvl="1">
      <w:start w:val="1"/>
      <w:numFmt w:val="lowerLetter"/>
      <w:lvlText w:val="%2."/>
      <w:lvlJc w:val="left"/>
      <w:pPr>
        <w:tabs>
          <w:tab w:val="num" w:pos="360"/>
        </w:tabs>
        <w:ind w:left="1440" w:hanging="360"/>
      </w:pPr>
      <w:rPr>
        <w:i w:val="0"/>
        <w:iCs w:val="0"/>
      </w:rPr>
    </w:lvl>
    <w:lvl w:ilvl="2">
      <w:start w:val="1"/>
      <w:numFmt w:val="lowerRoman"/>
      <w:lvlText w:val="%2.%3."/>
      <w:lvlJc w:val="right"/>
      <w:pPr>
        <w:tabs>
          <w:tab w:val="num" w:pos="360"/>
        </w:tabs>
        <w:ind w:left="2160" w:hanging="180"/>
      </w:pPr>
    </w:lvl>
    <w:lvl w:ilvl="3">
      <w:start w:val="1"/>
      <w:numFmt w:val="decimal"/>
      <w:lvlText w:val="%2.%3.%4."/>
      <w:lvlJc w:val="left"/>
      <w:pPr>
        <w:tabs>
          <w:tab w:val="num" w:pos="360"/>
        </w:tabs>
        <w:ind w:left="2880" w:hanging="360"/>
      </w:pPr>
    </w:lvl>
    <w:lvl w:ilvl="4">
      <w:start w:val="1"/>
      <w:numFmt w:val="lowerLetter"/>
      <w:lvlText w:val="%2.%3.%4.%5."/>
      <w:lvlJc w:val="left"/>
      <w:pPr>
        <w:tabs>
          <w:tab w:val="num" w:pos="360"/>
        </w:tabs>
        <w:ind w:left="3600" w:hanging="360"/>
      </w:pPr>
    </w:lvl>
    <w:lvl w:ilvl="5">
      <w:start w:val="1"/>
      <w:numFmt w:val="lowerRoman"/>
      <w:lvlText w:val="%2.%3.%4.%5.%6."/>
      <w:lvlJc w:val="right"/>
      <w:pPr>
        <w:tabs>
          <w:tab w:val="num" w:pos="360"/>
        </w:tabs>
        <w:ind w:left="4320" w:hanging="180"/>
      </w:pPr>
    </w:lvl>
    <w:lvl w:ilvl="6">
      <w:start w:val="1"/>
      <w:numFmt w:val="decimal"/>
      <w:lvlText w:val="%2.%3.%4.%5.%6.%7."/>
      <w:lvlJc w:val="left"/>
      <w:pPr>
        <w:tabs>
          <w:tab w:val="num" w:pos="360"/>
        </w:tabs>
        <w:ind w:left="5040" w:hanging="360"/>
      </w:pPr>
    </w:lvl>
    <w:lvl w:ilvl="7">
      <w:start w:val="1"/>
      <w:numFmt w:val="lowerLetter"/>
      <w:lvlText w:val="%2.%3.%4.%5.%6.%7.%8."/>
      <w:lvlJc w:val="left"/>
      <w:pPr>
        <w:tabs>
          <w:tab w:val="num" w:pos="360"/>
        </w:tabs>
        <w:ind w:left="5760" w:hanging="360"/>
      </w:pPr>
    </w:lvl>
    <w:lvl w:ilvl="8">
      <w:start w:val="1"/>
      <w:numFmt w:val="lowerRoman"/>
      <w:lvlText w:val="%2.%3.%4.%5.%6.%7.%8.%9."/>
      <w:lvlJc w:val="right"/>
      <w:pPr>
        <w:tabs>
          <w:tab w:val="num" w:pos="360"/>
        </w:tabs>
        <w:ind w:left="6480" w:hanging="180"/>
      </w:pPr>
    </w:lvl>
  </w:abstractNum>
  <w:abstractNum w:abstractNumId="38" w15:restartNumberingAfterBreak="0">
    <w:nsid w:val="6BB36DFF"/>
    <w:multiLevelType w:val="multilevel"/>
    <w:tmpl w:val="417ECF3E"/>
    <w:lvl w:ilvl="0">
      <w:start w:val="1"/>
      <w:numFmt w:val="decimal"/>
      <w:lvlText w:val="%1."/>
      <w:lvlJc w:val="left"/>
      <w:pPr>
        <w:tabs>
          <w:tab w:val="num" w:pos="0"/>
        </w:tabs>
        <w:ind w:left="360" w:hanging="360"/>
      </w:pPr>
      <w:rPr>
        <w:i w:val="0"/>
        <w:iCs w:val="0"/>
      </w:rPr>
    </w:lvl>
    <w:lvl w:ilvl="1">
      <w:start w:val="1"/>
      <w:numFmt w:val="lowerLetter"/>
      <w:lvlText w:val="%2."/>
      <w:lvlJc w:val="left"/>
      <w:pPr>
        <w:tabs>
          <w:tab w:val="num" w:pos="0"/>
        </w:tabs>
        <w:ind w:left="1080" w:hanging="360"/>
      </w:pPr>
      <w:rPr>
        <w:i w:val="0"/>
        <w:iCs w:val="0"/>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9" w15:restartNumberingAfterBreak="0">
    <w:nsid w:val="73EA3393"/>
    <w:multiLevelType w:val="multilevel"/>
    <w:tmpl w:val="B414DD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7DF26FA7"/>
    <w:multiLevelType w:val="multilevel"/>
    <w:tmpl w:val="F18076E8"/>
    <w:lvl w:ilvl="0">
      <w:start w:val="1"/>
      <w:numFmt w:val="lowerLetter"/>
      <w:lvlText w:val="%1)"/>
      <w:lvlJc w:val="left"/>
      <w:pPr>
        <w:tabs>
          <w:tab w:val="num" w:pos="1502"/>
        </w:tabs>
        <w:ind w:left="1502" w:hanging="397"/>
      </w:pPr>
      <w:rPr>
        <w:rFonts w:ascii="Garamond" w:eastAsia="SimSun" w:hAnsi="Garamond" w:cs="Garamond"/>
        <w:lang w:val="it-IT"/>
      </w:rPr>
    </w:lvl>
    <w:lvl w:ilvl="1">
      <w:start w:val="1"/>
      <w:numFmt w:val="lowerLetter"/>
      <w:lvlText w:val="%2."/>
      <w:lvlJc w:val="left"/>
      <w:pPr>
        <w:tabs>
          <w:tab w:val="num" w:pos="1899"/>
        </w:tabs>
        <w:ind w:left="1899" w:hanging="397"/>
      </w:pPr>
    </w:lvl>
    <w:lvl w:ilvl="2">
      <w:start w:val="1"/>
      <w:numFmt w:val="lowerLetter"/>
      <w:lvlText w:val="%3."/>
      <w:lvlJc w:val="left"/>
      <w:pPr>
        <w:tabs>
          <w:tab w:val="num" w:pos="2296"/>
        </w:tabs>
        <w:ind w:left="2296" w:hanging="397"/>
      </w:pPr>
    </w:lvl>
    <w:lvl w:ilvl="3">
      <w:start w:val="1"/>
      <w:numFmt w:val="lowerLetter"/>
      <w:lvlText w:val="%4."/>
      <w:lvlJc w:val="left"/>
      <w:pPr>
        <w:tabs>
          <w:tab w:val="num" w:pos="2693"/>
        </w:tabs>
        <w:ind w:left="2693" w:hanging="397"/>
      </w:pPr>
    </w:lvl>
    <w:lvl w:ilvl="4">
      <w:start w:val="1"/>
      <w:numFmt w:val="lowerLetter"/>
      <w:lvlText w:val="%5."/>
      <w:lvlJc w:val="left"/>
      <w:pPr>
        <w:tabs>
          <w:tab w:val="num" w:pos="3090"/>
        </w:tabs>
        <w:ind w:left="3090" w:hanging="397"/>
      </w:pPr>
    </w:lvl>
    <w:lvl w:ilvl="5">
      <w:start w:val="1"/>
      <w:numFmt w:val="lowerLetter"/>
      <w:lvlText w:val="%6."/>
      <w:lvlJc w:val="left"/>
      <w:pPr>
        <w:tabs>
          <w:tab w:val="num" w:pos="3487"/>
        </w:tabs>
        <w:ind w:left="3487" w:hanging="397"/>
      </w:pPr>
    </w:lvl>
    <w:lvl w:ilvl="6">
      <w:start w:val="1"/>
      <w:numFmt w:val="lowerLetter"/>
      <w:lvlText w:val="%7."/>
      <w:lvlJc w:val="left"/>
      <w:pPr>
        <w:tabs>
          <w:tab w:val="num" w:pos="3884"/>
        </w:tabs>
        <w:ind w:left="3884" w:hanging="397"/>
      </w:pPr>
    </w:lvl>
    <w:lvl w:ilvl="7">
      <w:start w:val="1"/>
      <w:numFmt w:val="lowerLetter"/>
      <w:lvlText w:val="%8."/>
      <w:lvlJc w:val="left"/>
      <w:pPr>
        <w:tabs>
          <w:tab w:val="num" w:pos="4281"/>
        </w:tabs>
        <w:ind w:left="4281" w:hanging="397"/>
      </w:pPr>
    </w:lvl>
    <w:lvl w:ilvl="8">
      <w:start w:val="1"/>
      <w:numFmt w:val="lowerLetter"/>
      <w:lvlText w:val="%9."/>
      <w:lvlJc w:val="left"/>
      <w:pPr>
        <w:tabs>
          <w:tab w:val="num" w:pos="4678"/>
        </w:tabs>
        <w:ind w:left="4678" w:hanging="397"/>
      </w:pPr>
    </w:lvl>
  </w:abstractNum>
  <w:num w:numId="1" w16cid:durableId="1271669674">
    <w:abstractNumId w:val="33"/>
  </w:num>
  <w:num w:numId="2" w16cid:durableId="1324744714">
    <w:abstractNumId w:val="34"/>
  </w:num>
  <w:num w:numId="3" w16cid:durableId="1357921158">
    <w:abstractNumId w:val="36"/>
  </w:num>
  <w:num w:numId="4" w16cid:durableId="1554342255">
    <w:abstractNumId w:val="26"/>
  </w:num>
  <w:num w:numId="5" w16cid:durableId="1825537289">
    <w:abstractNumId w:val="38"/>
  </w:num>
  <w:num w:numId="6" w16cid:durableId="2060090557">
    <w:abstractNumId w:val="20"/>
    <w:lvlOverride w:ilvl="0">
      <w:startOverride w:val="1"/>
    </w:lvlOverride>
  </w:num>
  <w:num w:numId="7" w16cid:durableId="459491520">
    <w:abstractNumId w:val="22"/>
    <w:lvlOverride w:ilvl="0">
      <w:startOverride w:val="1"/>
    </w:lvlOverride>
  </w:num>
  <w:num w:numId="8" w16cid:durableId="564485787">
    <w:abstractNumId w:val="18"/>
  </w:num>
  <w:num w:numId="9" w16cid:durableId="78186624">
    <w:abstractNumId w:val="25"/>
  </w:num>
  <w:num w:numId="10" w16cid:durableId="830604797">
    <w:abstractNumId w:val="27"/>
  </w:num>
  <w:num w:numId="11" w16cid:durableId="835457174">
    <w:abstractNumId w:val="17"/>
  </w:num>
  <w:num w:numId="12" w16cid:durableId="9787089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defaultTabStop w:val="720"/>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C8"/>
    <w:rsid w:val="00007980"/>
    <w:rsid w:val="00016CAA"/>
    <w:rsid w:val="00017EC4"/>
    <w:rsid w:val="00036A84"/>
    <w:rsid w:val="00040016"/>
    <w:rsid w:val="000674FB"/>
    <w:rsid w:val="000805FC"/>
    <w:rsid w:val="0008226B"/>
    <w:rsid w:val="000918B5"/>
    <w:rsid w:val="00094BC0"/>
    <w:rsid w:val="000B407B"/>
    <w:rsid w:val="000B58B3"/>
    <w:rsid w:val="000C6C2B"/>
    <w:rsid w:val="000D0B5B"/>
    <w:rsid w:val="000D4A06"/>
    <w:rsid w:val="000D4FE2"/>
    <w:rsid w:val="000F0810"/>
    <w:rsid w:val="000F108D"/>
    <w:rsid w:val="000F41E5"/>
    <w:rsid w:val="000F52A3"/>
    <w:rsid w:val="00102D64"/>
    <w:rsid w:val="00105FF0"/>
    <w:rsid w:val="00107FA5"/>
    <w:rsid w:val="001111A1"/>
    <w:rsid w:val="00115C1E"/>
    <w:rsid w:val="00123B33"/>
    <w:rsid w:val="00127E40"/>
    <w:rsid w:val="001341C0"/>
    <w:rsid w:val="001343B3"/>
    <w:rsid w:val="00134A96"/>
    <w:rsid w:val="001369EF"/>
    <w:rsid w:val="00143741"/>
    <w:rsid w:val="00151852"/>
    <w:rsid w:val="00151ABF"/>
    <w:rsid w:val="00153B0E"/>
    <w:rsid w:val="001545E6"/>
    <w:rsid w:val="00164800"/>
    <w:rsid w:val="00166239"/>
    <w:rsid w:val="00170B44"/>
    <w:rsid w:val="00170B6A"/>
    <w:rsid w:val="00171613"/>
    <w:rsid w:val="001842FF"/>
    <w:rsid w:val="001A4D0C"/>
    <w:rsid w:val="001A668E"/>
    <w:rsid w:val="001B3444"/>
    <w:rsid w:val="001B647E"/>
    <w:rsid w:val="001C6C67"/>
    <w:rsid w:val="001C6C8C"/>
    <w:rsid w:val="001D11F4"/>
    <w:rsid w:val="001D1EA4"/>
    <w:rsid w:val="001D4D84"/>
    <w:rsid w:val="001E0909"/>
    <w:rsid w:val="001E6225"/>
    <w:rsid w:val="001F33AA"/>
    <w:rsid w:val="00210F6B"/>
    <w:rsid w:val="00215D96"/>
    <w:rsid w:val="00222082"/>
    <w:rsid w:val="00223323"/>
    <w:rsid w:val="002311D0"/>
    <w:rsid w:val="002416C5"/>
    <w:rsid w:val="002416C8"/>
    <w:rsid w:val="00241C0E"/>
    <w:rsid w:val="0024270A"/>
    <w:rsid w:val="002457A0"/>
    <w:rsid w:val="00245974"/>
    <w:rsid w:val="00245F24"/>
    <w:rsid w:val="0024634C"/>
    <w:rsid w:val="00246442"/>
    <w:rsid w:val="00250A9A"/>
    <w:rsid w:val="00253D2F"/>
    <w:rsid w:val="0026013B"/>
    <w:rsid w:val="00262F46"/>
    <w:rsid w:val="00263FED"/>
    <w:rsid w:val="00267AE3"/>
    <w:rsid w:val="00271CA2"/>
    <w:rsid w:val="00272B7A"/>
    <w:rsid w:val="002734DD"/>
    <w:rsid w:val="002812F3"/>
    <w:rsid w:val="0028344A"/>
    <w:rsid w:val="00283FA1"/>
    <w:rsid w:val="00284C93"/>
    <w:rsid w:val="00285832"/>
    <w:rsid w:val="002A056F"/>
    <w:rsid w:val="002A4491"/>
    <w:rsid w:val="002D45FF"/>
    <w:rsid w:val="002E05DC"/>
    <w:rsid w:val="002E4259"/>
    <w:rsid w:val="002F4776"/>
    <w:rsid w:val="002F6B4E"/>
    <w:rsid w:val="0030325F"/>
    <w:rsid w:val="00306EB0"/>
    <w:rsid w:val="003157AF"/>
    <w:rsid w:val="00315807"/>
    <w:rsid w:val="00316214"/>
    <w:rsid w:val="00354A16"/>
    <w:rsid w:val="0035624D"/>
    <w:rsid w:val="0035753F"/>
    <w:rsid w:val="00363485"/>
    <w:rsid w:val="00366D85"/>
    <w:rsid w:val="00367CB3"/>
    <w:rsid w:val="00373D14"/>
    <w:rsid w:val="00374CA3"/>
    <w:rsid w:val="003753F2"/>
    <w:rsid w:val="00376993"/>
    <w:rsid w:val="00387136"/>
    <w:rsid w:val="0039021E"/>
    <w:rsid w:val="003A2BBF"/>
    <w:rsid w:val="003A4168"/>
    <w:rsid w:val="003B446B"/>
    <w:rsid w:val="003B5CE3"/>
    <w:rsid w:val="003B6F79"/>
    <w:rsid w:val="003C14C6"/>
    <w:rsid w:val="003C600B"/>
    <w:rsid w:val="003C6829"/>
    <w:rsid w:val="003D11D6"/>
    <w:rsid w:val="003D1C80"/>
    <w:rsid w:val="003D6732"/>
    <w:rsid w:val="003E06C0"/>
    <w:rsid w:val="003E277C"/>
    <w:rsid w:val="003E4980"/>
    <w:rsid w:val="003F3052"/>
    <w:rsid w:val="003F68B1"/>
    <w:rsid w:val="00403CA4"/>
    <w:rsid w:val="00407577"/>
    <w:rsid w:val="00410DEE"/>
    <w:rsid w:val="00413E27"/>
    <w:rsid w:val="00420F3B"/>
    <w:rsid w:val="00424CED"/>
    <w:rsid w:val="00425124"/>
    <w:rsid w:val="00436506"/>
    <w:rsid w:val="00441103"/>
    <w:rsid w:val="00444595"/>
    <w:rsid w:val="00452F5C"/>
    <w:rsid w:val="00461F3F"/>
    <w:rsid w:val="00471B39"/>
    <w:rsid w:val="00494DCF"/>
    <w:rsid w:val="00497043"/>
    <w:rsid w:val="004A30EB"/>
    <w:rsid w:val="004B2110"/>
    <w:rsid w:val="004B30DF"/>
    <w:rsid w:val="004C246B"/>
    <w:rsid w:val="004C7895"/>
    <w:rsid w:val="004D1570"/>
    <w:rsid w:val="004D61BF"/>
    <w:rsid w:val="004D76CD"/>
    <w:rsid w:val="004E2BFE"/>
    <w:rsid w:val="004E2E21"/>
    <w:rsid w:val="004E4B31"/>
    <w:rsid w:val="004F4340"/>
    <w:rsid w:val="004F43BE"/>
    <w:rsid w:val="0050470B"/>
    <w:rsid w:val="00506699"/>
    <w:rsid w:val="00537B7B"/>
    <w:rsid w:val="0055105F"/>
    <w:rsid w:val="005519E9"/>
    <w:rsid w:val="0056641D"/>
    <w:rsid w:val="00572656"/>
    <w:rsid w:val="00574A39"/>
    <w:rsid w:val="0059611E"/>
    <w:rsid w:val="005976B9"/>
    <w:rsid w:val="005A16AC"/>
    <w:rsid w:val="005A2EE9"/>
    <w:rsid w:val="005B564A"/>
    <w:rsid w:val="005C01DA"/>
    <w:rsid w:val="005C15CD"/>
    <w:rsid w:val="005D4151"/>
    <w:rsid w:val="005D5225"/>
    <w:rsid w:val="005E70EA"/>
    <w:rsid w:val="005E7D74"/>
    <w:rsid w:val="00600D46"/>
    <w:rsid w:val="00601BD7"/>
    <w:rsid w:val="006041A9"/>
    <w:rsid w:val="00614C50"/>
    <w:rsid w:val="00614EC7"/>
    <w:rsid w:val="00617258"/>
    <w:rsid w:val="006176C8"/>
    <w:rsid w:val="00622E41"/>
    <w:rsid w:val="006237F3"/>
    <w:rsid w:val="006263BE"/>
    <w:rsid w:val="00626E3A"/>
    <w:rsid w:val="006271A3"/>
    <w:rsid w:val="00630E1B"/>
    <w:rsid w:val="00633E27"/>
    <w:rsid w:val="0064201F"/>
    <w:rsid w:val="0065011C"/>
    <w:rsid w:val="00670B17"/>
    <w:rsid w:val="006719D0"/>
    <w:rsid w:val="006751DD"/>
    <w:rsid w:val="006804E1"/>
    <w:rsid w:val="00680E1D"/>
    <w:rsid w:val="0068533F"/>
    <w:rsid w:val="00696300"/>
    <w:rsid w:val="00696476"/>
    <w:rsid w:val="006A2F50"/>
    <w:rsid w:val="006A3ADF"/>
    <w:rsid w:val="006A58ED"/>
    <w:rsid w:val="006A6F3B"/>
    <w:rsid w:val="006B276F"/>
    <w:rsid w:val="006B2FD4"/>
    <w:rsid w:val="006C3F2E"/>
    <w:rsid w:val="006C76C4"/>
    <w:rsid w:val="006D03D3"/>
    <w:rsid w:val="006E02A3"/>
    <w:rsid w:val="006E771F"/>
    <w:rsid w:val="006F061D"/>
    <w:rsid w:val="006F64C6"/>
    <w:rsid w:val="006F7DD4"/>
    <w:rsid w:val="00706021"/>
    <w:rsid w:val="007106A5"/>
    <w:rsid w:val="00710A85"/>
    <w:rsid w:val="007139B0"/>
    <w:rsid w:val="00715CC1"/>
    <w:rsid w:val="00717261"/>
    <w:rsid w:val="00724C67"/>
    <w:rsid w:val="00727C24"/>
    <w:rsid w:val="00734618"/>
    <w:rsid w:val="0073665B"/>
    <w:rsid w:val="007373F7"/>
    <w:rsid w:val="007529EF"/>
    <w:rsid w:val="0075626A"/>
    <w:rsid w:val="00757726"/>
    <w:rsid w:val="007616F2"/>
    <w:rsid w:val="007627A1"/>
    <w:rsid w:val="00764103"/>
    <w:rsid w:val="007702FF"/>
    <w:rsid w:val="0077673A"/>
    <w:rsid w:val="007C5AC2"/>
    <w:rsid w:val="007C5EE8"/>
    <w:rsid w:val="007D3DD1"/>
    <w:rsid w:val="007D7CE4"/>
    <w:rsid w:val="007E6153"/>
    <w:rsid w:val="00806F63"/>
    <w:rsid w:val="00811F37"/>
    <w:rsid w:val="008219E7"/>
    <w:rsid w:val="0082759C"/>
    <w:rsid w:val="00845B7F"/>
    <w:rsid w:val="008463D9"/>
    <w:rsid w:val="008535D6"/>
    <w:rsid w:val="0085390D"/>
    <w:rsid w:val="00853E3D"/>
    <w:rsid w:val="00855D72"/>
    <w:rsid w:val="00856542"/>
    <w:rsid w:val="00862404"/>
    <w:rsid w:val="008723A4"/>
    <w:rsid w:val="0088284F"/>
    <w:rsid w:val="00893A36"/>
    <w:rsid w:val="008C69C6"/>
    <w:rsid w:val="008D1BD8"/>
    <w:rsid w:val="008E1C9A"/>
    <w:rsid w:val="008E2BC0"/>
    <w:rsid w:val="008E3F2C"/>
    <w:rsid w:val="008F2602"/>
    <w:rsid w:val="0090687F"/>
    <w:rsid w:val="00910D8D"/>
    <w:rsid w:val="00914093"/>
    <w:rsid w:val="00915565"/>
    <w:rsid w:val="00917681"/>
    <w:rsid w:val="00921B6F"/>
    <w:rsid w:val="00932649"/>
    <w:rsid w:val="00942904"/>
    <w:rsid w:val="00942BD7"/>
    <w:rsid w:val="00946C21"/>
    <w:rsid w:val="00950951"/>
    <w:rsid w:val="00974021"/>
    <w:rsid w:val="00976B9D"/>
    <w:rsid w:val="00987F6B"/>
    <w:rsid w:val="00993092"/>
    <w:rsid w:val="00994F75"/>
    <w:rsid w:val="00995496"/>
    <w:rsid w:val="00995ACD"/>
    <w:rsid w:val="00995CC7"/>
    <w:rsid w:val="00997EE1"/>
    <w:rsid w:val="009B48AC"/>
    <w:rsid w:val="009C6881"/>
    <w:rsid w:val="009D0AFE"/>
    <w:rsid w:val="009D47A8"/>
    <w:rsid w:val="009D4CC0"/>
    <w:rsid w:val="009D6413"/>
    <w:rsid w:val="009F1F0A"/>
    <w:rsid w:val="00A013A9"/>
    <w:rsid w:val="00A01BAB"/>
    <w:rsid w:val="00A22C02"/>
    <w:rsid w:val="00A267E2"/>
    <w:rsid w:val="00A333F0"/>
    <w:rsid w:val="00A455A8"/>
    <w:rsid w:val="00A4751D"/>
    <w:rsid w:val="00A518BC"/>
    <w:rsid w:val="00A55E76"/>
    <w:rsid w:val="00A5768A"/>
    <w:rsid w:val="00A640D4"/>
    <w:rsid w:val="00A667B4"/>
    <w:rsid w:val="00A7175A"/>
    <w:rsid w:val="00A855E0"/>
    <w:rsid w:val="00AA390A"/>
    <w:rsid w:val="00AA7883"/>
    <w:rsid w:val="00AB19ED"/>
    <w:rsid w:val="00AC250A"/>
    <w:rsid w:val="00AC6E16"/>
    <w:rsid w:val="00AD03F4"/>
    <w:rsid w:val="00AF4F6A"/>
    <w:rsid w:val="00B00C17"/>
    <w:rsid w:val="00B025C5"/>
    <w:rsid w:val="00B047C5"/>
    <w:rsid w:val="00B103EB"/>
    <w:rsid w:val="00B1169A"/>
    <w:rsid w:val="00B12C68"/>
    <w:rsid w:val="00B204CD"/>
    <w:rsid w:val="00B21D44"/>
    <w:rsid w:val="00B22EA5"/>
    <w:rsid w:val="00B2707A"/>
    <w:rsid w:val="00B4648F"/>
    <w:rsid w:val="00B52143"/>
    <w:rsid w:val="00B54DED"/>
    <w:rsid w:val="00B5607A"/>
    <w:rsid w:val="00B6009C"/>
    <w:rsid w:val="00B60A75"/>
    <w:rsid w:val="00B706F6"/>
    <w:rsid w:val="00B71B8B"/>
    <w:rsid w:val="00B80010"/>
    <w:rsid w:val="00B9407B"/>
    <w:rsid w:val="00B9562B"/>
    <w:rsid w:val="00B96A93"/>
    <w:rsid w:val="00BA197A"/>
    <w:rsid w:val="00BA228D"/>
    <w:rsid w:val="00BA3265"/>
    <w:rsid w:val="00BB4F66"/>
    <w:rsid w:val="00BB6D40"/>
    <w:rsid w:val="00BC3A0E"/>
    <w:rsid w:val="00BC3D3E"/>
    <w:rsid w:val="00BC74E8"/>
    <w:rsid w:val="00BE564C"/>
    <w:rsid w:val="00BE7085"/>
    <w:rsid w:val="00BF128C"/>
    <w:rsid w:val="00BF1358"/>
    <w:rsid w:val="00BF6787"/>
    <w:rsid w:val="00C12409"/>
    <w:rsid w:val="00C16A18"/>
    <w:rsid w:val="00C22410"/>
    <w:rsid w:val="00C245E0"/>
    <w:rsid w:val="00C45F08"/>
    <w:rsid w:val="00C64EDF"/>
    <w:rsid w:val="00C67548"/>
    <w:rsid w:val="00C717C3"/>
    <w:rsid w:val="00C77E9B"/>
    <w:rsid w:val="00C809C8"/>
    <w:rsid w:val="00CA0AD3"/>
    <w:rsid w:val="00CA5C30"/>
    <w:rsid w:val="00CB1254"/>
    <w:rsid w:val="00CB2981"/>
    <w:rsid w:val="00CB3A78"/>
    <w:rsid w:val="00CB7943"/>
    <w:rsid w:val="00CC2ABB"/>
    <w:rsid w:val="00CC6CE7"/>
    <w:rsid w:val="00CE4A86"/>
    <w:rsid w:val="00CF02E2"/>
    <w:rsid w:val="00CF0E45"/>
    <w:rsid w:val="00D017D3"/>
    <w:rsid w:val="00D132A5"/>
    <w:rsid w:val="00D13939"/>
    <w:rsid w:val="00D376DF"/>
    <w:rsid w:val="00D51DA6"/>
    <w:rsid w:val="00D85D91"/>
    <w:rsid w:val="00D877AA"/>
    <w:rsid w:val="00D96846"/>
    <w:rsid w:val="00DB539A"/>
    <w:rsid w:val="00DC28DD"/>
    <w:rsid w:val="00DC76C9"/>
    <w:rsid w:val="00DD046A"/>
    <w:rsid w:val="00E02026"/>
    <w:rsid w:val="00E31969"/>
    <w:rsid w:val="00E32B54"/>
    <w:rsid w:val="00E3793D"/>
    <w:rsid w:val="00E47DF2"/>
    <w:rsid w:val="00E626EE"/>
    <w:rsid w:val="00E6339A"/>
    <w:rsid w:val="00E635D8"/>
    <w:rsid w:val="00E644D2"/>
    <w:rsid w:val="00E64DAD"/>
    <w:rsid w:val="00E70C7D"/>
    <w:rsid w:val="00E85D82"/>
    <w:rsid w:val="00E87AFB"/>
    <w:rsid w:val="00EA0B96"/>
    <w:rsid w:val="00EB1FA3"/>
    <w:rsid w:val="00EB20E7"/>
    <w:rsid w:val="00EC6FB1"/>
    <w:rsid w:val="00ED3C6D"/>
    <w:rsid w:val="00ED4953"/>
    <w:rsid w:val="00EE1883"/>
    <w:rsid w:val="00EE5FE7"/>
    <w:rsid w:val="00EF1DF2"/>
    <w:rsid w:val="00F07C9F"/>
    <w:rsid w:val="00F117F5"/>
    <w:rsid w:val="00F13238"/>
    <w:rsid w:val="00F17DB5"/>
    <w:rsid w:val="00F2093D"/>
    <w:rsid w:val="00F31EFC"/>
    <w:rsid w:val="00F33F21"/>
    <w:rsid w:val="00F37818"/>
    <w:rsid w:val="00F43E45"/>
    <w:rsid w:val="00F46949"/>
    <w:rsid w:val="00F5353E"/>
    <w:rsid w:val="00F57651"/>
    <w:rsid w:val="00F84AD5"/>
    <w:rsid w:val="00F87F81"/>
    <w:rsid w:val="00F921F1"/>
    <w:rsid w:val="00F95C09"/>
    <w:rsid w:val="00F96655"/>
    <w:rsid w:val="00FA2D7B"/>
    <w:rsid w:val="00FA442F"/>
    <w:rsid w:val="00FA4729"/>
    <w:rsid w:val="00FD4C2E"/>
    <w:rsid w:val="00FE06FF"/>
    <w:rsid w:val="00FE1095"/>
    <w:rsid w:val="00FE239F"/>
    <w:rsid w:val="00FE3168"/>
    <w:rsid w:val="00FE4078"/>
    <w:rsid w:val="00FE46A0"/>
    <w:rsid w:val="00FF0C72"/>
    <w:rsid w:val="00FF33A1"/>
    <w:rsid w:val="00FF3AE2"/>
    <w:rsid w:val="0230648E"/>
    <w:rsid w:val="02419D6B"/>
    <w:rsid w:val="02B41F8C"/>
    <w:rsid w:val="04450BF2"/>
    <w:rsid w:val="0456202D"/>
    <w:rsid w:val="081C1208"/>
    <w:rsid w:val="09396E64"/>
    <w:rsid w:val="0997FCE5"/>
    <w:rsid w:val="09D47DAB"/>
    <w:rsid w:val="0E51464E"/>
    <w:rsid w:val="0E8043FE"/>
    <w:rsid w:val="0EB33661"/>
    <w:rsid w:val="0FA792A2"/>
    <w:rsid w:val="12A69442"/>
    <w:rsid w:val="12FC2E21"/>
    <w:rsid w:val="13F390DC"/>
    <w:rsid w:val="1446FF47"/>
    <w:rsid w:val="144CD7B0"/>
    <w:rsid w:val="185F81FF"/>
    <w:rsid w:val="19BDC2B6"/>
    <w:rsid w:val="1A129951"/>
    <w:rsid w:val="1AD2423B"/>
    <w:rsid w:val="1AF6416A"/>
    <w:rsid w:val="1C080921"/>
    <w:rsid w:val="2076723C"/>
    <w:rsid w:val="20C7FD6D"/>
    <w:rsid w:val="228998D0"/>
    <w:rsid w:val="2358191B"/>
    <w:rsid w:val="25536299"/>
    <w:rsid w:val="2699707F"/>
    <w:rsid w:val="270FB8FE"/>
    <w:rsid w:val="27637D16"/>
    <w:rsid w:val="29D674DD"/>
    <w:rsid w:val="2B88FC37"/>
    <w:rsid w:val="2C5051E7"/>
    <w:rsid w:val="2D2CB9EA"/>
    <w:rsid w:val="2DD0DAD9"/>
    <w:rsid w:val="2FECB1FB"/>
    <w:rsid w:val="3090BF2B"/>
    <w:rsid w:val="309B0872"/>
    <w:rsid w:val="30BEC955"/>
    <w:rsid w:val="33D6270A"/>
    <w:rsid w:val="356D5E25"/>
    <w:rsid w:val="35E83246"/>
    <w:rsid w:val="3639E8D0"/>
    <w:rsid w:val="3AC87309"/>
    <w:rsid w:val="3B612134"/>
    <w:rsid w:val="3DB639AF"/>
    <w:rsid w:val="3EAC6F26"/>
    <w:rsid w:val="4041B35A"/>
    <w:rsid w:val="41C908E4"/>
    <w:rsid w:val="43391595"/>
    <w:rsid w:val="520D8B50"/>
    <w:rsid w:val="5377FD48"/>
    <w:rsid w:val="53C84C2F"/>
    <w:rsid w:val="56469507"/>
    <w:rsid w:val="580446AA"/>
    <w:rsid w:val="583BD42A"/>
    <w:rsid w:val="584DA300"/>
    <w:rsid w:val="5ABFEE7B"/>
    <w:rsid w:val="5BFBD630"/>
    <w:rsid w:val="5D4BA348"/>
    <w:rsid w:val="61DCC4FF"/>
    <w:rsid w:val="666606AC"/>
    <w:rsid w:val="67B5570E"/>
    <w:rsid w:val="687EF619"/>
    <w:rsid w:val="6B03EF95"/>
    <w:rsid w:val="6BD16B4F"/>
    <w:rsid w:val="6F887ABB"/>
    <w:rsid w:val="709EC3BB"/>
    <w:rsid w:val="70F1F750"/>
    <w:rsid w:val="7155D8E9"/>
    <w:rsid w:val="7741C7F3"/>
    <w:rsid w:val="7831B3C0"/>
    <w:rsid w:val="7AFD4E6F"/>
    <w:rsid w:val="7B5E14E7"/>
    <w:rsid w:val="7B6BBE54"/>
    <w:rsid w:val="7E1745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497"/>
    <w:pPr>
      <w:keepNext/>
      <w:spacing w:before="240" w:after="60"/>
      <w:jc w:val="center"/>
      <w:outlineLvl w:val="0"/>
    </w:pPr>
    <w:rPr>
      <w:rFonts w:ascii="Garamond" w:hAnsi="Garamond"/>
      <w:b/>
      <w:bCs/>
      <w:kern w:val="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265497"/>
    <w:rPr>
      <w:rFonts w:ascii="Garamond" w:eastAsia="Times New Roman" w:hAnsi="Garamond" w:cs="Times New Roman"/>
      <w:b/>
      <w:bCs/>
      <w:kern w:val="2"/>
      <w:sz w:val="24"/>
      <w:szCs w:val="32"/>
    </w:rPr>
  </w:style>
  <w:style w:type="character" w:customStyle="1" w:styleId="HeaderChar">
    <w:name w:val="Header Char"/>
    <w:basedOn w:val="DefaultParagraphFont"/>
    <w:link w:val="Header"/>
    <w:uiPriority w:val="99"/>
    <w:qFormat/>
    <w:rsid w:val="00265497"/>
  </w:style>
  <w:style w:type="character" w:customStyle="1" w:styleId="FooterChar">
    <w:name w:val="Footer Char"/>
    <w:basedOn w:val="DefaultParagraphFont"/>
    <w:link w:val="Footer"/>
    <w:uiPriority w:val="99"/>
    <w:qFormat/>
    <w:rsid w:val="00265497"/>
  </w:style>
  <w:style w:type="character" w:styleId="CommentReference">
    <w:name w:val="annotation reference"/>
    <w:uiPriority w:val="99"/>
    <w:semiHidden/>
    <w:unhideWhenUsed/>
    <w:qFormat/>
    <w:rsid w:val="002D7EFA"/>
    <w:rPr>
      <w:sz w:val="16"/>
      <w:szCs w:val="16"/>
    </w:rPr>
  </w:style>
  <w:style w:type="character" w:customStyle="1" w:styleId="CommentTextChar">
    <w:name w:val="Comment Text Char"/>
    <w:basedOn w:val="DefaultParagraphFont"/>
    <w:link w:val="CommentText"/>
    <w:uiPriority w:val="99"/>
    <w:qFormat/>
    <w:rsid w:val="002D7EFA"/>
  </w:style>
  <w:style w:type="character" w:customStyle="1" w:styleId="CommentSubjectChar">
    <w:name w:val="Comment Subject Char"/>
    <w:link w:val="CommentSubject"/>
    <w:uiPriority w:val="99"/>
    <w:semiHidden/>
    <w:qFormat/>
    <w:rsid w:val="002D7EFA"/>
    <w:rPr>
      <w:b/>
      <w:bCs/>
    </w:rPr>
  </w:style>
  <w:style w:type="character" w:customStyle="1" w:styleId="Caratteridinumerazione">
    <w:name w:val="Caratteri di numerazione"/>
    <w:qFormat/>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ice">
    <w:name w:val="Indice"/>
    <w:basedOn w:val="Normal"/>
    <w:qFormat/>
    <w:pPr>
      <w:suppressLineNumbers/>
    </w:pPr>
    <w:rPr>
      <w:rFonts w:cs="Lucida Sans"/>
    </w:rPr>
  </w:style>
  <w:style w:type="paragraph" w:customStyle="1" w:styleId="Intestazioneepidipagina">
    <w:name w:val="Intestazione e piè di pagina"/>
    <w:basedOn w:val="Normal"/>
    <w:qFormat/>
  </w:style>
  <w:style w:type="paragraph" w:styleId="Header">
    <w:name w:val="header"/>
    <w:basedOn w:val="Normal"/>
    <w:link w:val="HeaderChar"/>
    <w:uiPriority w:val="99"/>
    <w:unhideWhenUsed/>
    <w:rsid w:val="00265497"/>
    <w:pPr>
      <w:tabs>
        <w:tab w:val="center" w:pos="4819"/>
        <w:tab w:val="right" w:pos="9638"/>
      </w:tabs>
    </w:pPr>
  </w:style>
  <w:style w:type="paragraph" w:styleId="Footer">
    <w:name w:val="footer"/>
    <w:basedOn w:val="Normal"/>
    <w:link w:val="FooterChar"/>
    <w:uiPriority w:val="99"/>
    <w:unhideWhenUsed/>
    <w:rsid w:val="00265497"/>
    <w:pPr>
      <w:tabs>
        <w:tab w:val="center" w:pos="4819"/>
        <w:tab w:val="right" w:pos="9638"/>
      </w:tabs>
    </w:pPr>
  </w:style>
  <w:style w:type="paragraph" w:styleId="CommentText">
    <w:name w:val="annotation text"/>
    <w:basedOn w:val="Normal"/>
    <w:link w:val="CommentTextChar"/>
    <w:uiPriority w:val="99"/>
    <w:unhideWhenUsed/>
    <w:qFormat/>
    <w:rsid w:val="002D7EFA"/>
  </w:style>
  <w:style w:type="paragraph" w:styleId="CommentSubject">
    <w:name w:val="annotation subject"/>
    <w:basedOn w:val="CommentText"/>
    <w:next w:val="CommentText"/>
    <w:link w:val="CommentSubjectChar"/>
    <w:uiPriority w:val="99"/>
    <w:semiHidden/>
    <w:unhideWhenUsed/>
    <w:qFormat/>
    <w:rsid w:val="002D7EFA"/>
    <w:rPr>
      <w:b/>
      <w:bCs/>
    </w:rPr>
  </w:style>
  <w:style w:type="paragraph" w:styleId="NoSpacing">
    <w:name w:val="No Spacing"/>
    <w:uiPriority w:val="1"/>
    <w:qFormat/>
    <w:rsid w:val="0051690A"/>
  </w:style>
  <w:style w:type="paragraph" w:styleId="Revision">
    <w:name w:val="Revision"/>
    <w:uiPriority w:val="99"/>
    <w:semiHidden/>
    <w:qFormat/>
    <w:rsid w:val="00F02615"/>
  </w:style>
  <w:style w:type="paragraph" w:styleId="ListParagraph">
    <w:name w:val="List Paragraph"/>
    <w:basedOn w:val="Normal"/>
    <w:uiPriority w:val="34"/>
    <w:qFormat/>
    <w:rsid w:val="003577BA"/>
    <w:pPr>
      <w:ind w:left="720"/>
      <w:contextualSpacing/>
    </w:pPr>
  </w:style>
  <w:style w:type="numbering" w:customStyle="1" w:styleId="Numerazioneabc">
    <w:name w:val="Numerazione abc"/>
    <w:qFormat/>
  </w:style>
  <w:style w:type="paragraph" w:customStyle="1" w:styleId="Titolo1">
    <w:name w:val="Titolo1"/>
    <w:basedOn w:val="Normal"/>
    <w:next w:val="BodyText"/>
    <w:qFormat/>
    <w:rsid w:val="002311D0"/>
    <w:pPr>
      <w:keepNext/>
      <w:spacing w:before="240" w:after="120"/>
    </w:pPr>
    <w:rPr>
      <w:rFonts w:ascii="Liberation Sans" w:eastAsia="Microsoft YaHei" w:hAnsi="Liberation Sans" w:cs="Lucida Sans"/>
      <w:sz w:val="28"/>
      <w:szCs w:val="28"/>
    </w:rPr>
  </w:style>
  <w:style w:type="character" w:styleId="Hyperlink">
    <w:name w:val="Hyperlink"/>
    <w:basedOn w:val="DefaultParagraphFont"/>
    <w:uiPriority w:val="99"/>
    <w:unhideWhenUsed/>
    <w:rsid w:val="0026013B"/>
    <w:rPr>
      <w:color w:val="467886" w:themeColor="hyperlink"/>
      <w:u w:val="single"/>
    </w:rPr>
  </w:style>
  <w:style w:type="character" w:styleId="UnresolvedMention">
    <w:name w:val="Unresolved Mention"/>
    <w:basedOn w:val="DefaultParagraphFont"/>
    <w:uiPriority w:val="99"/>
    <w:semiHidden/>
    <w:unhideWhenUsed/>
    <w:rsid w:val="0026013B"/>
    <w:rPr>
      <w:color w:val="605E5C"/>
      <w:shd w:val="clear" w:color="auto" w:fill="E1DFDD"/>
    </w:rPr>
  </w:style>
  <w:style w:type="character" w:customStyle="1" w:styleId="normaltextrun">
    <w:name w:val="normaltextrun"/>
    <w:basedOn w:val="DefaultParagraphFont"/>
    <w:rsid w:val="00283FA1"/>
  </w:style>
  <w:style w:type="character" w:styleId="FollowedHyperlink">
    <w:name w:val="FollowedHyperlink"/>
    <w:basedOn w:val="DefaultParagraphFont"/>
    <w:uiPriority w:val="99"/>
    <w:semiHidden/>
    <w:unhideWhenUsed/>
    <w:rsid w:val="00C64E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comic.cultura.gov.it/ipac/infrastruttur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041d5a-f09f-4694-b75b-e01a463bc7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7871F2A94FB034581C3AA081F148A6B" ma:contentTypeVersion="15" ma:contentTypeDescription="Creare un nuovo documento." ma:contentTypeScope="" ma:versionID="7e31a20620438da614e8f8be31a142e3">
  <xsd:schema xmlns:xsd="http://www.w3.org/2001/XMLSchema" xmlns:xs="http://www.w3.org/2001/XMLSchema" xmlns:p="http://schemas.microsoft.com/office/2006/metadata/properties" xmlns:ns2="a29b7724-225b-4a17-89d5-2188415b28de" xmlns:ns3="61041d5a-f09f-4694-b75b-e01a463bc77d" targetNamespace="http://schemas.microsoft.com/office/2006/metadata/properties" ma:root="true" ma:fieldsID="1e09445049478fabb35b59b86c196bda" ns2:_="" ns3:_="">
    <xsd:import namespace="a29b7724-225b-4a17-89d5-2188415b28de"/>
    <xsd:import namespace="61041d5a-f09f-4694-b75b-e01a463bc7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b7724-225b-4a17-89d5-2188415b28d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041d5a-f09f-4694-b75b-e01a463bc7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e8e87e90-a3ba-466a-9f24-aa4c15ca2cd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3A72C-2922-428C-A216-5CB418125942}">
  <ds:schemaRefs>
    <ds:schemaRef ds:uri="http://schemas.microsoft.com/sharepoint/v3/contenttype/forms"/>
  </ds:schemaRefs>
</ds:datastoreItem>
</file>

<file path=customXml/itemProps2.xml><?xml version="1.0" encoding="utf-8"?>
<ds:datastoreItem xmlns:ds="http://schemas.openxmlformats.org/officeDocument/2006/customXml" ds:itemID="{5E245A3C-9E9F-446E-ADCC-DB4357E30C8E}">
  <ds:schemaRefs>
    <ds:schemaRef ds:uri="http://schemas.microsoft.com/office/2006/metadata/properties"/>
    <ds:schemaRef ds:uri="http://schemas.microsoft.com/office/infopath/2007/PartnerControls"/>
    <ds:schemaRef ds:uri="61041d5a-f09f-4694-b75b-e01a463bc77d"/>
  </ds:schemaRefs>
</ds:datastoreItem>
</file>

<file path=customXml/itemProps3.xml><?xml version="1.0" encoding="utf-8"?>
<ds:datastoreItem xmlns:ds="http://schemas.openxmlformats.org/officeDocument/2006/customXml" ds:itemID="{1DB336E0-0340-4DBE-947C-EEBAB659F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b7724-225b-4a17-89d5-2188415b28de"/>
    <ds:schemaRef ds:uri="61041d5a-f09f-4694-b75b-e01a463bc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3867</Words>
  <Characters>24546</Characters>
  <Application>Microsoft Office Word</Application>
  <DocSecurity>4</DocSecurity>
  <Lines>373</Lines>
  <Paragraphs>119</Paragraphs>
  <ScaleCrop>false</ScaleCrop>
  <Company/>
  <LinksUpToDate>false</LinksUpToDate>
  <CharactersWithSpaces>28386</CharactersWithSpaces>
  <SharedDoc>false</SharedDoc>
  <HLinks>
    <vt:vector size="6" baseType="variant">
      <vt:variant>
        <vt:i4>6619199</vt:i4>
      </vt:variant>
      <vt:variant>
        <vt:i4>0</vt:i4>
      </vt:variant>
      <vt:variant>
        <vt:i4>0</vt:i4>
      </vt:variant>
      <vt:variant>
        <vt:i4>5</vt:i4>
      </vt:variant>
      <vt:variant>
        <vt:lpwstr>https://ecomic.cultura.gov.it/ipac/infrastruttura/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2025-05-19T19:21:00Z</dcterms:created>
  <dcterms:modified xsi:type="dcterms:W3CDTF">2026-05-18T15:51:00Z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0x010100B7871F2A94FB034581C3AA081F148A6B</vt:lpwstr>
  </property>
  <property fmtid="{D5CDD505-2E9C-101B-9397-08002B2CF9AE}" pid="3" name="MediaServiceImageTags">
    <vt:lpwstr/>
  </property>
  <property fmtid="{D5CDD505-2E9C-101B-9397-08002B2CF9AE}" pid="4" name="docLang">
    <vt:lpwstr>it</vt:lpwstr>
  </property>
</Properties>
</file>